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75CB" w:rsidRDefault="001604FF">
      <w:pPr>
        <w:tabs>
          <w:tab w:val="right" w:pos="10546"/>
        </w:tabs>
        <w:jc w:val="center"/>
        <w:rPr>
          <w:rFonts w:ascii="黑体" w:eastAsia="黑体" w:hAnsi="黑体"/>
          <w:b/>
          <w:bCs/>
          <w:sz w:val="40"/>
        </w:rPr>
      </w:pPr>
      <w:r>
        <w:rPr>
          <w:rFonts w:ascii="黑体" w:eastAsia="黑体" w:hAnsi="黑体" w:hint="eastAsia"/>
          <w:b/>
          <w:bCs/>
          <w:sz w:val="40"/>
        </w:rPr>
        <w:t>证券投资基金投资人权益须知</w:t>
      </w:r>
      <w:r w:rsidR="00653369">
        <w:rPr>
          <w:b/>
          <w:bCs/>
        </w:rPr>
        <w:pict>
          <v:shapetype id="_x0000_t202" coordsize="21600,21600" o:spt="202" path="m,l,21600r21600,l21600,xe">
            <v:stroke joinstyle="miter"/>
            <v:path gradientshapeok="t" o:connecttype="rect"/>
          </v:shapetype>
          <v:shape id="_x0000_s1026" type="#_x0000_t202" style="position:absolute;left:0;text-align:left;margin-left:354.95pt;margin-top:-58.85pt;width:128.15pt;height:23.3pt;z-index:251659264;mso-position-horizontal-relative:text;mso-position-vertical-relative:text;mso-width-relative:page;mso-height-relative:page" o:gfxdata="UEsDBAoAAAAAAIdO4kAAAAAAAAAAAAAAAAAEAAAAZHJzL1BLAwQUAAAACACHTuJAASAj+dgAAAAM&#10;AQAADwAAAGRycy9kb3ducmV2LnhtbE2PwU7DMAyG70i8Q2QkbluSCVpamu4A4gpiAyRuWeO1FY1T&#10;Ndla3h5zgqPtT7+/v9oufhBnnGIfyIBeKxBITXA9tQbe9k+rOxAxWXJ2CIQGvjHCtr68qGzpwkyv&#10;eN6lVnAIxdIa6FIaSylj06G3cR1GJL4dw+Rt4nFqpZvszOF+kBulMultT/yhsyM+dNh87U7ewPvz&#10;8fPjRr20j/52nMOiJPlCGnN9pdU9iIRL+oPhV5/VoWanQziRi2IwkKuiYNTASus8B8FIkWUbEAde&#10;5VqDrCv5v0T9A1BLAwQUAAAACACHTuJAbreyeLcBAABZAwAADgAAAGRycy9lMm9Eb2MueG1srVNB&#10;btswELwXyB8I3mvKAqQkguUAhZFcirZA2gfQFGURILkESVvyB5If9NRL732X39El5SRtesmhF4rc&#10;Hc3uzJKrm8locpA+KLAtXS4KSqQV0Cm7a+m3r7fvrygJkduOa7CypUcZ6M364t1qdI0sYQDdSU+Q&#10;xIZmdC0dYnQNY0EM0vCwACctJnvwhkc8+h3rPB+R3WhWFkXNRvCd8yBkCBjdzEl6ZvRvIYS+V0Ju&#10;QOyNtHFm9VLziJLCoFyg69xt30sRP/d9kJHolqLSmFcsgvttWtl6xZud525Q4twCf0sLrzQZriwW&#10;faba8MjJ3qt/qIwSHgL0cSHAsFlIdgRVLItX3twP3MmsBa0O7tn08P9oxafDF09U19KSEssNDvz0&#10;/fH049fp5wMpkz2jCw2i7h3i4vQBJrw0T/GAwaR66r1JX9RDMF/VVXFVV5QcEVtfFkU1+yynSET6&#10;vy4vKwwSgYDyurpe5kGwFyLnQ7yTYEjatNTjHLO9/PAxRGwKoU+QVNfCrdI6z1LbvwIITBGWVMzd&#10;pl2cttNZ2ha6IyrbO692A5bK2jIcHc+FzrcjjfTPcyZ9eRH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EgI/nYAAAADAEAAA8AAAAAAAAAAQAgAAAAIgAAAGRycy9kb3ducmV2LnhtbFBLAQIUABQA&#10;AAAIAIdO4kBut7J4twEAAFkDAAAOAAAAAAAAAAEAIAAAACcBAABkcnMvZTJvRG9jLnhtbFBLBQYA&#10;AAAABgAGAFkBAABQBQAAAAA=&#10;" filled="f" stroked="f">
            <v:textbox>
              <w:txbxContent>
                <w:p w:rsidR="003475CB" w:rsidRDefault="001604FF">
                  <w:pPr>
                    <w:rPr>
                      <w:rFonts w:eastAsia="宋体"/>
                      <w:color w:val="7E7E7E"/>
                      <w:sz w:val="18"/>
                      <w:szCs w:val="18"/>
                    </w:rPr>
                  </w:pPr>
                  <w:r>
                    <w:rPr>
                      <w:rFonts w:hint="eastAsia"/>
                      <w:color w:val="7E7E7E"/>
                      <w:sz w:val="18"/>
                      <w:szCs w:val="18"/>
                    </w:rPr>
                    <w:t>表单版本：</w:t>
                  </w:r>
                  <w:r>
                    <w:rPr>
                      <w:rFonts w:hint="eastAsia"/>
                      <w:color w:val="7E7E7E"/>
                      <w:sz w:val="18"/>
                      <w:szCs w:val="18"/>
                    </w:rPr>
                    <w:t>202</w:t>
                  </w:r>
                  <w:r w:rsidR="00653369">
                    <w:rPr>
                      <w:color w:val="7E7E7E"/>
                      <w:sz w:val="18"/>
                      <w:szCs w:val="18"/>
                    </w:rPr>
                    <w:t>6</w:t>
                  </w:r>
                  <w:r>
                    <w:rPr>
                      <w:rFonts w:hint="eastAsia"/>
                      <w:color w:val="7E7E7E"/>
                      <w:sz w:val="18"/>
                      <w:szCs w:val="18"/>
                    </w:rPr>
                    <w:t>年</w:t>
                  </w:r>
                  <w:r w:rsidR="00653369">
                    <w:rPr>
                      <w:color w:val="7E7E7E"/>
                      <w:sz w:val="18"/>
                      <w:szCs w:val="18"/>
                    </w:rPr>
                    <w:t>02</w:t>
                  </w:r>
                  <w:bookmarkStart w:id="0" w:name="_GoBack"/>
                  <w:bookmarkEnd w:id="0"/>
                  <w:r>
                    <w:rPr>
                      <w:rFonts w:hint="eastAsia"/>
                      <w:color w:val="7E7E7E"/>
                      <w:sz w:val="18"/>
                      <w:szCs w:val="18"/>
                    </w:rPr>
                    <w:t>月版</w:t>
                  </w:r>
                </w:p>
              </w:txbxContent>
            </v:textbox>
          </v:shape>
        </w:pict>
      </w:r>
    </w:p>
    <w:p w:rsidR="003475CB" w:rsidRDefault="003475CB">
      <w:pPr>
        <w:tabs>
          <w:tab w:val="right" w:pos="10546"/>
        </w:tabs>
        <w:jc w:val="center"/>
        <w:rPr>
          <w:rFonts w:ascii="仿宋" w:eastAsia="仿宋" w:hAnsi="仿宋"/>
          <w:b/>
          <w:sz w:val="28"/>
        </w:rPr>
      </w:pPr>
    </w:p>
    <w:p w:rsidR="003475CB" w:rsidRDefault="001604FF">
      <w:pPr>
        <w:rPr>
          <w:rFonts w:ascii="仿宋" w:eastAsia="仿宋" w:hAnsi="仿宋"/>
          <w:sz w:val="28"/>
          <w:szCs w:val="28"/>
        </w:rPr>
      </w:pPr>
      <w:r>
        <w:rPr>
          <w:rFonts w:ascii="仿宋" w:eastAsia="仿宋" w:hAnsi="仿宋" w:hint="eastAsia"/>
          <w:sz w:val="28"/>
          <w:szCs w:val="28"/>
        </w:rPr>
        <w:t>尊敬的基金投资人：</w:t>
      </w:r>
    </w:p>
    <w:p w:rsidR="003475CB" w:rsidRDefault="001604FF">
      <w:pPr>
        <w:ind w:firstLine="420"/>
        <w:rPr>
          <w:rFonts w:ascii="仿宋" w:eastAsia="仿宋" w:hAnsi="仿宋"/>
          <w:sz w:val="28"/>
          <w:szCs w:val="28"/>
        </w:rPr>
      </w:pPr>
      <w:r>
        <w:rPr>
          <w:rFonts w:ascii="仿宋" w:eastAsia="仿宋" w:hAnsi="仿宋" w:hint="eastAsia"/>
          <w:sz w:val="28"/>
          <w:szCs w:val="28"/>
        </w:rPr>
        <w:t>基金投资在获取收益的同时存在投资风险。为了保护您的合法权益，请在投资基金前认真阅读以下内容：</w:t>
      </w:r>
    </w:p>
    <w:p w:rsidR="003475CB" w:rsidRDefault="001604FF">
      <w:pPr>
        <w:pStyle w:val="af2"/>
        <w:numPr>
          <w:ilvl w:val="0"/>
          <w:numId w:val="1"/>
        </w:numPr>
        <w:ind w:firstLineChars="0"/>
        <w:rPr>
          <w:rFonts w:ascii="仿宋" w:eastAsia="仿宋" w:hAnsi="仿宋"/>
          <w:b/>
          <w:sz w:val="28"/>
          <w:szCs w:val="28"/>
        </w:rPr>
      </w:pPr>
      <w:r>
        <w:rPr>
          <w:rFonts w:ascii="仿宋" w:eastAsia="仿宋" w:hAnsi="仿宋" w:hint="eastAsia"/>
          <w:b/>
          <w:sz w:val="28"/>
          <w:szCs w:val="28"/>
        </w:rPr>
        <w:t>基金的基本知识</w:t>
      </w:r>
    </w:p>
    <w:p w:rsidR="003475CB" w:rsidRDefault="001604FF">
      <w:pPr>
        <w:pStyle w:val="af2"/>
        <w:numPr>
          <w:ilvl w:val="0"/>
          <w:numId w:val="2"/>
        </w:numPr>
        <w:ind w:firstLineChars="0"/>
        <w:rPr>
          <w:rFonts w:ascii="仿宋" w:eastAsia="仿宋" w:hAnsi="仿宋"/>
          <w:b/>
          <w:sz w:val="28"/>
          <w:szCs w:val="28"/>
        </w:rPr>
      </w:pPr>
      <w:r>
        <w:rPr>
          <w:rFonts w:ascii="仿宋" w:eastAsia="仿宋" w:hAnsi="仿宋" w:hint="eastAsia"/>
          <w:b/>
          <w:sz w:val="28"/>
          <w:szCs w:val="28"/>
        </w:rPr>
        <w:t>什么是基金</w:t>
      </w:r>
    </w:p>
    <w:p w:rsidR="003475CB" w:rsidRDefault="001604FF">
      <w:pPr>
        <w:ind w:firstLine="420"/>
        <w:rPr>
          <w:rFonts w:ascii="仿宋" w:eastAsia="仿宋" w:hAnsi="仿宋"/>
          <w:sz w:val="28"/>
          <w:szCs w:val="28"/>
        </w:rPr>
      </w:pPr>
      <w:r>
        <w:rPr>
          <w:rFonts w:ascii="仿宋" w:eastAsia="仿宋" w:hAnsi="仿宋" w:hint="eastAsia"/>
          <w:sz w:val="28"/>
          <w:szCs w:val="28"/>
        </w:rPr>
        <w:t>公开募集证券投资基金（简称基金）是指通过发售基金份额，将众多投资者的资金集中起来，形成独立财产，由基金托管人托管，基金管理人管理，以投资组合的方法进行证券投资的一种利益共享、风险共担的集合投资方式。</w:t>
      </w:r>
    </w:p>
    <w:p w:rsidR="003475CB" w:rsidRDefault="001604FF">
      <w:pPr>
        <w:pStyle w:val="af2"/>
        <w:numPr>
          <w:ilvl w:val="0"/>
          <w:numId w:val="2"/>
        </w:numPr>
        <w:ind w:firstLineChars="0"/>
        <w:rPr>
          <w:rFonts w:ascii="仿宋" w:eastAsia="仿宋" w:hAnsi="仿宋"/>
          <w:b/>
          <w:sz w:val="28"/>
          <w:szCs w:val="28"/>
        </w:rPr>
      </w:pPr>
      <w:r>
        <w:rPr>
          <w:rFonts w:ascii="仿宋" w:eastAsia="仿宋" w:hAnsi="仿宋" w:hint="eastAsia"/>
          <w:b/>
          <w:sz w:val="28"/>
          <w:szCs w:val="28"/>
        </w:rPr>
        <w:t>基金与股票、债券、储蓄存款等其它金融工具的区别</w:t>
      </w:r>
    </w:p>
    <w:tbl>
      <w:tblPr>
        <w:tblStyle w:val="ae"/>
        <w:tblpPr w:leftFromText="180" w:rightFromText="180" w:vertAnchor="text" w:horzAnchor="page" w:tblpX="853" w:tblpY="616"/>
        <w:tblOverlap w:val="never"/>
        <w:tblW w:w="106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478"/>
        <w:gridCol w:w="2715"/>
        <w:gridCol w:w="2126"/>
        <w:gridCol w:w="1985"/>
        <w:gridCol w:w="2319"/>
      </w:tblGrid>
      <w:tr w:rsidR="003475CB">
        <w:trPr>
          <w:trHeight w:val="526"/>
        </w:trPr>
        <w:tc>
          <w:tcPr>
            <w:tcW w:w="1478" w:type="dxa"/>
            <w:shd w:val="clear" w:color="auto" w:fill="B3B3B3"/>
            <w:vAlign w:val="center"/>
          </w:tcPr>
          <w:p w:rsidR="003475CB" w:rsidRDefault="003475CB">
            <w:pPr>
              <w:pStyle w:val="ab"/>
              <w:spacing w:line="240" w:lineRule="exact"/>
              <w:jc w:val="center"/>
              <w:rPr>
                <w:rFonts w:ascii="仿宋" w:eastAsia="仿宋" w:hAnsi="仿宋"/>
                <w:b/>
                <w:bCs/>
                <w:sz w:val="21"/>
                <w:szCs w:val="21"/>
              </w:rPr>
            </w:pPr>
          </w:p>
        </w:tc>
        <w:tc>
          <w:tcPr>
            <w:tcW w:w="2715" w:type="dxa"/>
            <w:shd w:val="clear" w:color="auto" w:fill="B3B3B3"/>
            <w:vAlign w:val="center"/>
          </w:tcPr>
          <w:p w:rsidR="003475CB" w:rsidRDefault="001604FF">
            <w:pPr>
              <w:pStyle w:val="ab"/>
              <w:spacing w:line="240" w:lineRule="exact"/>
              <w:jc w:val="center"/>
              <w:rPr>
                <w:rFonts w:ascii="仿宋" w:eastAsia="仿宋" w:hAnsi="仿宋"/>
                <w:b/>
                <w:bCs/>
                <w:sz w:val="21"/>
                <w:szCs w:val="21"/>
              </w:rPr>
            </w:pPr>
            <w:r>
              <w:rPr>
                <w:rFonts w:ascii="仿宋" w:eastAsia="仿宋" w:hAnsi="仿宋" w:hint="eastAsia"/>
                <w:b/>
                <w:bCs/>
                <w:sz w:val="21"/>
                <w:szCs w:val="21"/>
              </w:rPr>
              <w:t>基金</w:t>
            </w:r>
          </w:p>
        </w:tc>
        <w:tc>
          <w:tcPr>
            <w:tcW w:w="2126" w:type="dxa"/>
            <w:shd w:val="clear" w:color="auto" w:fill="B3B3B3"/>
            <w:vAlign w:val="center"/>
          </w:tcPr>
          <w:p w:rsidR="003475CB" w:rsidRDefault="001604FF">
            <w:pPr>
              <w:pStyle w:val="ab"/>
              <w:spacing w:line="240" w:lineRule="exact"/>
              <w:jc w:val="center"/>
              <w:rPr>
                <w:rFonts w:ascii="仿宋" w:eastAsia="仿宋" w:hAnsi="仿宋"/>
                <w:b/>
                <w:bCs/>
                <w:sz w:val="21"/>
                <w:szCs w:val="21"/>
              </w:rPr>
            </w:pPr>
            <w:r>
              <w:rPr>
                <w:rFonts w:ascii="仿宋" w:eastAsia="仿宋" w:hAnsi="仿宋" w:hint="eastAsia"/>
                <w:b/>
                <w:bCs/>
                <w:sz w:val="21"/>
                <w:szCs w:val="21"/>
              </w:rPr>
              <w:t>股票</w:t>
            </w:r>
          </w:p>
        </w:tc>
        <w:tc>
          <w:tcPr>
            <w:tcW w:w="1985" w:type="dxa"/>
            <w:shd w:val="clear" w:color="auto" w:fill="B3B3B3"/>
            <w:vAlign w:val="center"/>
          </w:tcPr>
          <w:p w:rsidR="003475CB" w:rsidRDefault="001604FF">
            <w:pPr>
              <w:pStyle w:val="ab"/>
              <w:spacing w:line="240" w:lineRule="exact"/>
              <w:jc w:val="center"/>
              <w:rPr>
                <w:rFonts w:ascii="仿宋" w:eastAsia="仿宋" w:hAnsi="仿宋"/>
                <w:b/>
                <w:bCs/>
                <w:sz w:val="21"/>
                <w:szCs w:val="21"/>
              </w:rPr>
            </w:pPr>
            <w:r>
              <w:rPr>
                <w:rFonts w:ascii="仿宋" w:eastAsia="仿宋" w:hAnsi="仿宋" w:hint="eastAsia"/>
                <w:b/>
                <w:bCs/>
                <w:sz w:val="21"/>
                <w:szCs w:val="21"/>
              </w:rPr>
              <w:t>债券</w:t>
            </w:r>
          </w:p>
        </w:tc>
        <w:tc>
          <w:tcPr>
            <w:tcW w:w="2319" w:type="dxa"/>
            <w:shd w:val="clear" w:color="auto" w:fill="B3B3B3"/>
            <w:vAlign w:val="center"/>
          </w:tcPr>
          <w:p w:rsidR="003475CB" w:rsidRDefault="001604FF">
            <w:pPr>
              <w:pStyle w:val="ab"/>
              <w:spacing w:line="240" w:lineRule="exact"/>
              <w:jc w:val="center"/>
              <w:rPr>
                <w:rFonts w:ascii="仿宋" w:eastAsia="仿宋" w:hAnsi="仿宋"/>
                <w:b/>
                <w:bCs/>
                <w:sz w:val="21"/>
                <w:szCs w:val="21"/>
              </w:rPr>
            </w:pPr>
            <w:r>
              <w:rPr>
                <w:rFonts w:ascii="仿宋" w:eastAsia="仿宋" w:hAnsi="仿宋" w:hint="eastAsia"/>
                <w:b/>
                <w:bCs/>
                <w:sz w:val="21"/>
                <w:szCs w:val="21"/>
              </w:rPr>
              <w:t>银行储蓄存款</w:t>
            </w:r>
          </w:p>
        </w:tc>
      </w:tr>
      <w:tr w:rsidR="003475CB">
        <w:trPr>
          <w:trHeight w:val="1578"/>
        </w:trPr>
        <w:tc>
          <w:tcPr>
            <w:tcW w:w="1478"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反映的经济关系不同</w:t>
            </w:r>
          </w:p>
        </w:tc>
        <w:tc>
          <w:tcPr>
            <w:tcW w:w="2715"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信托关系，是一种受益凭证，投资者购买基金份额后成为基金受益人，基金管理人只是替投资者管理资金，并不承担投资损失风险</w:t>
            </w:r>
          </w:p>
        </w:tc>
        <w:tc>
          <w:tcPr>
            <w:tcW w:w="2126"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所有权关系，是一种所有权凭证，投资者购买后成为公司股东</w:t>
            </w:r>
          </w:p>
        </w:tc>
        <w:tc>
          <w:tcPr>
            <w:tcW w:w="1985"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债权债务关系，是一种债权凭证，投资者购买后成为该公司债权人</w:t>
            </w:r>
          </w:p>
        </w:tc>
        <w:tc>
          <w:tcPr>
            <w:tcW w:w="2319"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表现为银行的负债，是一种信用凭证，银行对存款者负有法定的保本付息责任</w:t>
            </w:r>
          </w:p>
        </w:tc>
      </w:tr>
      <w:tr w:rsidR="003475CB">
        <w:trPr>
          <w:trHeight w:val="689"/>
        </w:trPr>
        <w:tc>
          <w:tcPr>
            <w:tcW w:w="1478"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所筹资金的投向不同</w:t>
            </w:r>
          </w:p>
        </w:tc>
        <w:tc>
          <w:tcPr>
            <w:tcW w:w="2715"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间接投资工具，主要投向股票、债券等有价证券</w:t>
            </w:r>
          </w:p>
        </w:tc>
        <w:tc>
          <w:tcPr>
            <w:tcW w:w="2126"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直接投资工具，主要投向实业领域</w:t>
            </w:r>
          </w:p>
        </w:tc>
        <w:tc>
          <w:tcPr>
            <w:tcW w:w="1985"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直接投资工具，主要投向实业领域</w:t>
            </w:r>
          </w:p>
        </w:tc>
        <w:tc>
          <w:tcPr>
            <w:tcW w:w="2319"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间接投资工具，银行负责资金用途和投向</w:t>
            </w:r>
          </w:p>
        </w:tc>
      </w:tr>
      <w:tr w:rsidR="003475CB">
        <w:trPr>
          <w:trHeight w:val="1056"/>
        </w:trPr>
        <w:tc>
          <w:tcPr>
            <w:tcW w:w="1478"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投资收益与风险大小不同</w:t>
            </w:r>
          </w:p>
        </w:tc>
        <w:tc>
          <w:tcPr>
            <w:tcW w:w="2715"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投资于众多有价证券，能有效分散风险，风险相对适中，收益相对稳健</w:t>
            </w:r>
          </w:p>
        </w:tc>
        <w:tc>
          <w:tcPr>
            <w:tcW w:w="2126"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价格波动性大，高风险、高收益</w:t>
            </w:r>
          </w:p>
        </w:tc>
        <w:tc>
          <w:tcPr>
            <w:tcW w:w="1985"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价格波动较股票小，低风险、低收益</w:t>
            </w:r>
          </w:p>
        </w:tc>
        <w:tc>
          <w:tcPr>
            <w:tcW w:w="2319"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银行存款利率相对固定，损失本金的可能性很小，投资比较安全</w:t>
            </w:r>
          </w:p>
        </w:tc>
      </w:tr>
      <w:tr w:rsidR="003475CB">
        <w:trPr>
          <w:trHeight w:val="768"/>
        </w:trPr>
        <w:tc>
          <w:tcPr>
            <w:tcW w:w="1478"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收益来源</w:t>
            </w:r>
          </w:p>
        </w:tc>
        <w:tc>
          <w:tcPr>
            <w:tcW w:w="2715"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利息收入、股利收入、资本利得</w:t>
            </w:r>
          </w:p>
        </w:tc>
        <w:tc>
          <w:tcPr>
            <w:tcW w:w="2126"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股利收入、资本利得</w:t>
            </w:r>
          </w:p>
        </w:tc>
        <w:tc>
          <w:tcPr>
            <w:tcW w:w="1985"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利息收入、资本利得</w:t>
            </w:r>
          </w:p>
        </w:tc>
        <w:tc>
          <w:tcPr>
            <w:tcW w:w="2319"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利息收入</w:t>
            </w:r>
          </w:p>
        </w:tc>
      </w:tr>
      <w:tr w:rsidR="003475CB">
        <w:trPr>
          <w:trHeight w:val="804"/>
        </w:trPr>
        <w:tc>
          <w:tcPr>
            <w:tcW w:w="1478"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投资渠道</w:t>
            </w:r>
          </w:p>
        </w:tc>
        <w:tc>
          <w:tcPr>
            <w:tcW w:w="2715"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基金管理公司及银行、证券公司等代销机构</w:t>
            </w:r>
          </w:p>
        </w:tc>
        <w:tc>
          <w:tcPr>
            <w:tcW w:w="2126"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证券公司</w:t>
            </w:r>
          </w:p>
        </w:tc>
        <w:tc>
          <w:tcPr>
            <w:tcW w:w="1985"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债券发行机构、证券公司及银行等代销机构</w:t>
            </w:r>
          </w:p>
        </w:tc>
        <w:tc>
          <w:tcPr>
            <w:tcW w:w="2319" w:type="dxa"/>
            <w:vAlign w:val="center"/>
          </w:tcPr>
          <w:p w:rsidR="003475CB" w:rsidRDefault="001604FF">
            <w:pPr>
              <w:pStyle w:val="ab"/>
              <w:spacing w:line="240" w:lineRule="exact"/>
              <w:jc w:val="both"/>
              <w:rPr>
                <w:rFonts w:ascii="仿宋" w:eastAsia="仿宋" w:hAnsi="仿宋"/>
                <w:bCs/>
                <w:sz w:val="21"/>
                <w:szCs w:val="21"/>
              </w:rPr>
            </w:pPr>
            <w:r>
              <w:rPr>
                <w:rFonts w:ascii="仿宋" w:eastAsia="仿宋" w:hAnsi="仿宋" w:hint="eastAsia"/>
                <w:bCs/>
                <w:sz w:val="21"/>
                <w:szCs w:val="21"/>
              </w:rPr>
              <w:t>银行、信用社、邮政储蓄银行</w:t>
            </w:r>
          </w:p>
        </w:tc>
      </w:tr>
    </w:tbl>
    <w:p w:rsidR="003475CB" w:rsidRDefault="003475CB">
      <w:pPr>
        <w:rPr>
          <w:rFonts w:ascii="仿宋" w:eastAsia="仿宋" w:hAnsi="仿宋"/>
        </w:rPr>
      </w:pPr>
    </w:p>
    <w:p w:rsidR="003475CB" w:rsidRDefault="001604FF">
      <w:pPr>
        <w:pStyle w:val="af2"/>
        <w:numPr>
          <w:ilvl w:val="0"/>
          <w:numId w:val="2"/>
        </w:numPr>
        <w:ind w:firstLineChars="0"/>
        <w:rPr>
          <w:rFonts w:ascii="仿宋" w:eastAsia="仿宋" w:hAnsi="仿宋"/>
          <w:b/>
          <w:sz w:val="28"/>
          <w:szCs w:val="28"/>
        </w:rPr>
      </w:pPr>
      <w:r>
        <w:rPr>
          <w:rFonts w:ascii="仿宋" w:eastAsia="仿宋" w:hAnsi="仿宋" w:hint="eastAsia"/>
          <w:b/>
          <w:sz w:val="28"/>
          <w:szCs w:val="28"/>
        </w:rPr>
        <w:lastRenderedPageBreak/>
        <w:t>基金的分类</w:t>
      </w:r>
    </w:p>
    <w:p w:rsidR="003475CB" w:rsidRDefault="001604FF">
      <w:pPr>
        <w:pStyle w:val="af2"/>
        <w:numPr>
          <w:ilvl w:val="0"/>
          <w:numId w:val="3"/>
        </w:numPr>
        <w:ind w:firstLineChars="0"/>
        <w:rPr>
          <w:rFonts w:ascii="仿宋" w:eastAsia="仿宋" w:hAnsi="仿宋"/>
          <w:sz w:val="28"/>
          <w:szCs w:val="28"/>
        </w:rPr>
      </w:pPr>
      <w:r>
        <w:rPr>
          <w:rFonts w:ascii="仿宋" w:eastAsia="仿宋" w:hAnsi="仿宋" w:hint="eastAsia"/>
          <w:sz w:val="28"/>
          <w:szCs w:val="28"/>
        </w:rPr>
        <w:t>依据运作方式的不同，可分为封闭式基金与开放式基金。</w:t>
      </w:r>
    </w:p>
    <w:p w:rsidR="003475CB" w:rsidRDefault="001604FF">
      <w:pPr>
        <w:ind w:firstLine="420"/>
        <w:rPr>
          <w:rFonts w:ascii="仿宋" w:eastAsia="仿宋" w:hAnsi="仿宋"/>
          <w:sz w:val="28"/>
          <w:szCs w:val="28"/>
        </w:rPr>
      </w:pPr>
      <w:r>
        <w:rPr>
          <w:rFonts w:ascii="仿宋" w:eastAsia="仿宋" w:hAnsi="仿宋" w:hint="eastAsia"/>
          <w:sz w:val="28"/>
          <w:szCs w:val="28"/>
        </w:rPr>
        <w:t>封闭式基金是指基金份额在基金合同期限内固定不变，基金份额可以在依法设立的证券交易所交易，但基金份额持有人不得申请赎回的一种基金运作方式。</w:t>
      </w:r>
    </w:p>
    <w:p w:rsidR="003475CB" w:rsidRDefault="001604FF">
      <w:pPr>
        <w:ind w:firstLineChars="200" w:firstLine="560"/>
        <w:rPr>
          <w:rFonts w:ascii="仿宋" w:eastAsia="仿宋" w:hAnsi="仿宋"/>
          <w:sz w:val="28"/>
          <w:szCs w:val="28"/>
        </w:rPr>
      </w:pPr>
      <w:r>
        <w:rPr>
          <w:rFonts w:ascii="仿宋" w:eastAsia="仿宋" w:hAnsi="仿宋" w:hint="eastAsia"/>
          <w:sz w:val="28"/>
          <w:szCs w:val="28"/>
        </w:rPr>
        <w:t>开放式基金是指基金份额不固定，基金份额可以在基金合同约定的时间和场所进行申购和赎回的一种基金运作方式。</w:t>
      </w:r>
    </w:p>
    <w:p w:rsidR="003475CB" w:rsidRDefault="001604FF">
      <w:pPr>
        <w:pStyle w:val="af2"/>
        <w:numPr>
          <w:ilvl w:val="0"/>
          <w:numId w:val="3"/>
        </w:numPr>
        <w:tabs>
          <w:tab w:val="left" w:pos="851"/>
        </w:tabs>
        <w:ind w:left="0" w:firstLineChars="0" w:firstLine="420"/>
        <w:rPr>
          <w:rFonts w:ascii="仿宋" w:eastAsia="仿宋" w:hAnsi="仿宋"/>
          <w:sz w:val="28"/>
          <w:szCs w:val="28"/>
        </w:rPr>
      </w:pPr>
      <w:r>
        <w:rPr>
          <w:rFonts w:ascii="仿宋" w:eastAsia="仿宋" w:hAnsi="仿宋" w:hint="eastAsia"/>
          <w:sz w:val="28"/>
          <w:szCs w:val="28"/>
        </w:rPr>
        <w:t>依据投资对象的不同，可分为股票基金、债券基金、货币市场基金、混合基金</w:t>
      </w:r>
    </w:p>
    <w:p w:rsidR="003475CB" w:rsidRDefault="001604FF">
      <w:pPr>
        <w:ind w:firstLineChars="200" w:firstLine="560"/>
        <w:rPr>
          <w:rFonts w:ascii="仿宋" w:eastAsia="仿宋" w:hAnsi="仿宋"/>
          <w:sz w:val="28"/>
          <w:szCs w:val="28"/>
        </w:rPr>
      </w:pPr>
      <w:r>
        <w:rPr>
          <w:rFonts w:ascii="仿宋" w:eastAsia="仿宋" w:hAnsi="仿宋" w:hint="eastAsia"/>
          <w:sz w:val="28"/>
          <w:szCs w:val="28"/>
        </w:rPr>
        <w:t>根据《公开募集证券投资基金运作管理办法》对基金类别的分类标准</w:t>
      </w:r>
      <w:r>
        <w:rPr>
          <w:rFonts w:ascii="仿宋" w:eastAsia="仿宋" w:hAnsi="仿宋"/>
          <w:sz w:val="28"/>
          <w:szCs w:val="28"/>
        </w:rPr>
        <w:t>,80%</w:t>
      </w:r>
      <w:r>
        <w:rPr>
          <w:rFonts w:ascii="仿宋" w:eastAsia="仿宋" w:hAnsi="仿宋" w:hint="eastAsia"/>
          <w:sz w:val="28"/>
          <w:szCs w:val="28"/>
        </w:rPr>
        <w:t>以上的基金资产投资于股票的为股票基金；</w:t>
      </w:r>
      <w:r>
        <w:rPr>
          <w:rFonts w:ascii="仿宋" w:eastAsia="仿宋" w:hAnsi="仿宋"/>
          <w:sz w:val="28"/>
          <w:szCs w:val="28"/>
        </w:rPr>
        <w:t>80%</w:t>
      </w:r>
      <w:r>
        <w:rPr>
          <w:rFonts w:ascii="仿宋" w:eastAsia="仿宋" w:hAnsi="仿宋" w:hint="eastAsia"/>
          <w:sz w:val="28"/>
          <w:szCs w:val="28"/>
        </w:rPr>
        <w:t>以上的基金资产投资于债券的为债券基金；仅投资于货币市场工具的为货币市场基金；投资于股票、债券和货币市场工具或其他基金份额，但股票投资和债券投资的比例不符合股票基金、债券基金规定的为混合基金。这些基金类别按收益和风险由高到低的排列顺序为：股票基金、混合基金、债券基金、货币市场基金，即股票基金的风险和收益最高，货币市场基金的风险和收益最低。</w:t>
      </w:r>
    </w:p>
    <w:p w:rsidR="003475CB" w:rsidRDefault="001604FF">
      <w:pPr>
        <w:pStyle w:val="af2"/>
        <w:numPr>
          <w:ilvl w:val="0"/>
          <w:numId w:val="3"/>
        </w:numPr>
        <w:ind w:firstLineChars="0"/>
        <w:rPr>
          <w:rFonts w:ascii="仿宋" w:eastAsia="仿宋" w:hAnsi="仿宋"/>
          <w:sz w:val="28"/>
          <w:szCs w:val="28"/>
        </w:rPr>
      </w:pPr>
      <w:r>
        <w:rPr>
          <w:rFonts w:ascii="仿宋" w:eastAsia="仿宋" w:hAnsi="仿宋" w:hint="eastAsia"/>
          <w:sz w:val="28"/>
          <w:szCs w:val="28"/>
        </w:rPr>
        <w:t>特殊类型基金</w:t>
      </w:r>
    </w:p>
    <w:p w:rsidR="003475CB" w:rsidRDefault="001604FF">
      <w:pPr>
        <w:ind w:firstLine="420"/>
        <w:rPr>
          <w:rFonts w:ascii="仿宋" w:eastAsia="仿宋" w:hAnsi="仿宋"/>
          <w:sz w:val="28"/>
          <w:szCs w:val="28"/>
        </w:rPr>
      </w:pPr>
      <w:r>
        <w:rPr>
          <w:rFonts w:ascii="仿宋" w:eastAsia="仿宋" w:hAnsi="仿宋" w:hint="eastAsia"/>
          <w:sz w:val="28"/>
          <w:szCs w:val="28"/>
        </w:rPr>
        <w:t>（1）系列基金。又被称为伞型基金，是指多个基金共用一个基金合同</w:t>
      </w:r>
      <w:r>
        <w:rPr>
          <w:rFonts w:ascii="仿宋" w:eastAsia="仿宋" w:hAnsi="仿宋"/>
          <w:sz w:val="28"/>
          <w:szCs w:val="28"/>
        </w:rPr>
        <w:t>,</w:t>
      </w:r>
      <w:r>
        <w:rPr>
          <w:rFonts w:ascii="仿宋" w:eastAsia="仿宋" w:hAnsi="仿宋" w:hint="eastAsia"/>
          <w:sz w:val="28"/>
          <w:szCs w:val="28"/>
        </w:rPr>
        <w:t>子基金独立运作</w:t>
      </w:r>
      <w:r>
        <w:rPr>
          <w:rFonts w:ascii="仿宋" w:eastAsia="仿宋" w:hAnsi="仿宋"/>
          <w:sz w:val="28"/>
          <w:szCs w:val="28"/>
        </w:rPr>
        <w:t>,</w:t>
      </w:r>
      <w:r>
        <w:rPr>
          <w:rFonts w:ascii="仿宋" w:eastAsia="仿宋" w:hAnsi="仿宋" w:hint="eastAsia"/>
          <w:sz w:val="28"/>
          <w:szCs w:val="28"/>
        </w:rPr>
        <w:t>子基金之间可以进行相互转换的一种基金结构形式。</w:t>
      </w:r>
    </w:p>
    <w:p w:rsidR="003475CB" w:rsidRDefault="001604FF">
      <w:pPr>
        <w:ind w:firstLine="42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2</w:t>
      </w:r>
      <w:r>
        <w:rPr>
          <w:rFonts w:ascii="仿宋" w:eastAsia="仿宋" w:hAnsi="仿宋" w:hint="eastAsia"/>
          <w:sz w:val="28"/>
          <w:szCs w:val="28"/>
        </w:rPr>
        <w:t>）交易型开放式指数基金</w:t>
      </w:r>
      <w:r>
        <w:rPr>
          <w:rFonts w:ascii="仿宋" w:eastAsia="仿宋" w:hAnsi="仿宋"/>
          <w:sz w:val="28"/>
          <w:szCs w:val="28"/>
        </w:rPr>
        <w:t>(ETF)</w:t>
      </w:r>
      <w:r>
        <w:rPr>
          <w:rFonts w:ascii="仿宋" w:eastAsia="仿宋" w:hAnsi="仿宋" w:hint="eastAsia"/>
          <w:sz w:val="28"/>
          <w:szCs w:val="28"/>
        </w:rPr>
        <w:t>与</w:t>
      </w:r>
      <w:r>
        <w:rPr>
          <w:rFonts w:ascii="仿宋" w:eastAsia="仿宋" w:hAnsi="仿宋"/>
          <w:sz w:val="28"/>
          <w:szCs w:val="28"/>
        </w:rPr>
        <w:t>ETF</w:t>
      </w:r>
      <w:r>
        <w:rPr>
          <w:rFonts w:ascii="仿宋" w:eastAsia="仿宋" w:hAnsi="仿宋" w:hint="eastAsia"/>
          <w:sz w:val="28"/>
          <w:szCs w:val="28"/>
        </w:rPr>
        <w:t>联接基金。交易型开放</w:t>
      </w:r>
      <w:r>
        <w:rPr>
          <w:rFonts w:ascii="仿宋" w:eastAsia="仿宋" w:hAnsi="仿宋" w:hint="eastAsia"/>
          <w:sz w:val="28"/>
          <w:szCs w:val="28"/>
        </w:rPr>
        <w:lastRenderedPageBreak/>
        <w:t>式指数基金</w:t>
      </w:r>
      <w:r>
        <w:rPr>
          <w:rFonts w:ascii="仿宋" w:eastAsia="仿宋" w:hAnsi="仿宋"/>
          <w:sz w:val="28"/>
          <w:szCs w:val="28"/>
        </w:rPr>
        <w:t>,</w:t>
      </w:r>
      <w:r>
        <w:rPr>
          <w:rFonts w:ascii="仿宋" w:eastAsia="仿宋" w:hAnsi="仿宋" w:hint="eastAsia"/>
          <w:sz w:val="28"/>
          <w:szCs w:val="28"/>
        </w:rPr>
        <w:t>通常又被称为交易所交易基金</w:t>
      </w:r>
      <w:r>
        <w:rPr>
          <w:rFonts w:ascii="仿宋" w:eastAsia="仿宋" w:hAnsi="仿宋"/>
          <w:sz w:val="28"/>
          <w:szCs w:val="28"/>
        </w:rPr>
        <w:t>(Exchange Traded Funds,</w:t>
      </w:r>
      <w:r>
        <w:rPr>
          <w:rFonts w:ascii="仿宋" w:eastAsia="仿宋" w:hAnsi="仿宋" w:hint="eastAsia"/>
          <w:sz w:val="28"/>
          <w:szCs w:val="28"/>
        </w:rPr>
        <w:t>简称“</w:t>
      </w:r>
      <w:r>
        <w:rPr>
          <w:rFonts w:ascii="仿宋" w:eastAsia="仿宋" w:hAnsi="仿宋"/>
          <w:sz w:val="28"/>
          <w:szCs w:val="28"/>
        </w:rPr>
        <w:t>ETF</w:t>
      </w:r>
      <w:r>
        <w:rPr>
          <w:rFonts w:ascii="仿宋" w:eastAsia="仿宋" w:hAnsi="仿宋" w:hint="eastAsia"/>
          <w:sz w:val="28"/>
          <w:szCs w:val="28"/>
        </w:rPr>
        <w:t>”</w:t>
      </w:r>
      <w:r>
        <w:rPr>
          <w:rFonts w:ascii="仿宋" w:eastAsia="仿宋" w:hAnsi="仿宋"/>
          <w:sz w:val="28"/>
          <w:szCs w:val="28"/>
        </w:rPr>
        <w:t>),</w:t>
      </w:r>
      <w:r>
        <w:rPr>
          <w:rFonts w:ascii="仿宋" w:eastAsia="仿宋" w:hAnsi="仿宋" w:hint="eastAsia"/>
          <w:sz w:val="28"/>
          <w:szCs w:val="28"/>
        </w:rPr>
        <w:t>是一种在交易所上市交易的、基金份额可变的一种开放式基金。它结合了开放式基金和封闭式基金的运作特点，其份额可以在二级市场买卖，也可以申购、赎回。但是，由于它的申购是用一篮子成分券换取基金份额，赎回也是换回一篮子成分券而非现金。为方便未参与二级市场交易的投资者，就诞生了“</w:t>
      </w:r>
      <w:r>
        <w:rPr>
          <w:rFonts w:ascii="仿宋" w:eastAsia="仿宋" w:hAnsi="仿宋"/>
          <w:sz w:val="28"/>
          <w:szCs w:val="28"/>
        </w:rPr>
        <w:t>ETF</w:t>
      </w:r>
      <w:r>
        <w:rPr>
          <w:rFonts w:ascii="仿宋" w:eastAsia="仿宋" w:hAnsi="仿宋" w:hint="eastAsia"/>
          <w:sz w:val="28"/>
          <w:szCs w:val="28"/>
        </w:rPr>
        <w:t>联接基金”，这种基金将</w:t>
      </w:r>
      <w:r>
        <w:rPr>
          <w:rFonts w:ascii="仿宋" w:eastAsia="仿宋" w:hAnsi="仿宋"/>
          <w:sz w:val="28"/>
          <w:szCs w:val="28"/>
        </w:rPr>
        <w:t>90%</w:t>
      </w:r>
      <w:r>
        <w:rPr>
          <w:rFonts w:ascii="仿宋" w:eastAsia="仿宋" w:hAnsi="仿宋" w:hint="eastAsia"/>
          <w:sz w:val="28"/>
          <w:szCs w:val="28"/>
        </w:rPr>
        <w:t>以上的资产投资于目标</w:t>
      </w:r>
      <w:r>
        <w:rPr>
          <w:rFonts w:ascii="仿宋" w:eastAsia="仿宋" w:hAnsi="仿宋"/>
          <w:sz w:val="28"/>
          <w:szCs w:val="28"/>
        </w:rPr>
        <w:t>ETF</w:t>
      </w:r>
      <w:r>
        <w:rPr>
          <w:rFonts w:ascii="仿宋" w:eastAsia="仿宋" w:hAnsi="仿宋" w:hint="eastAsia"/>
          <w:sz w:val="28"/>
          <w:szCs w:val="28"/>
        </w:rPr>
        <w:t>，采用开放式运作方式并在场外申购或赎回。</w:t>
      </w:r>
    </w:p>
    <w:p w:rsidR="003475CB" w:rsidRDefault="001604FF">
      <w:pPr>
        <w:ind w:firstLine="42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）上市开放式基金</w:t>
      </w:r>
      <w:r>
        <w:rPr>
          <w:rFonts w:ascii="仿宋" w:eastAsia="仿宋" w:hAnsi="仿宋"/>
          <w:sz w:val="28"/>
          <w:szCs w:val="28"/>
        </w:rPr>
        <w:t>(Listed Open-ended Funds,</w:t>
      </w:r>
      <w:r>
        <w:rPr>
          <w:rFonts w:ascii="仿宋" w:eastAsia="仿宋" w:hAnsi="仿宋" w:hint="eastAsia"/>
          <w:sz w:val="28"/>
          <w:szCs w:val="28"/>
        </w:rPr>
        <w:t>简称“</w:t>
      </w:r>
      <w:r>
        <w:rPr>
          <w:rFonts w:ascii="仿宋" w:eastAsia="仿宋" w:hAnsi="仿宋"/>
          <w:sz w:val="28"/>
          <w:szCs w:val="28"/>
        </w:rPr>
        <w:t>LOF</w:t>
      </w:r>
      <w:r>
        <w:rPr>
          <w:rFonts w:ascii="仿宋" w:eastAsia="仿宋" w:hAnsi="仿宋" w:hint="eastAsia"/>
          <w:sz w:val="28"/>
          <w:szCs w:val="28"/>
        </w:rPr>
        <w:t>”</w:t>
      </w:r>
      <w:r>
        <w:rPr>
          <w:rFonts w:ascii="仿宋" w:eastAsia="仿宋" w:hAnsi="仿宋"/>
          <w:sz w:val="28"/>
          <w:szCs w:val="28"/>
        </w:rPr>
        <w:t>)</w:t>
      </w:r>
      <w:r>
        <w:rPr>
          <w:rFonts w:ascii="仿宋" w:eastAsia="仿宋" w:hAnsi="仿宋" w:hint="eastAsia"/>
          <w:sz w:val="28"/>
          <w:szCs w:val="28"/>
        </w:rPr>
        <w:t>是一种既可以在场外市场进行基金份额申购赎回，又可以在交易所（场内市场）进行基金份额交易、申购或赎回的开放式基金。</w:t>
      </w:r>
    </w:p>
    <w:p w:rsidR="003475CB" w:rsidRDefault="001604FF">
      <w:pPr>
        <w:ind w:firstLine="42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4</w:t>
      </w:r>
      <w:r>
        <w:rPr>
          <w:rFonts w:ascii="仿宋" w:eastAsia="仿宋" w:hAnsi="仿宋" w:hint="eastAsia"/>
          <w:sz w:val="28"/>
          <w:szCs w:val="28"/>
        </w:rPr>
        <w:t>）</w:t>
      </w:r>
      <w:r>
        <w:rPr>
          <w:rFonts w:ascii="仿宋" w:eastAsia="仿宋" w:hAnsi="仿宋"/>
          <w:sz w:val="28"/>
          <w:szCs w:val="28"/>
        </w:rPr>
        <w:t>QDII</w:t>
      </w:r>
      <w:r>
        <w:rPr>
          <w:rFonts w:ascii="仿宋" w:eastAsia="仿宋" w:hAnsi="仿宋" w:hint="eastAsia"/>
          <w:sz w:val="28"/>
          <w:szCs w:val="28"/>
        </w:rPr>
        <w:t>基金。</w:t>
      </w:r>
      <w:r>
        <w:rPr>
          <w:rFonts w:ascii="仿宋" w:eastAsia="仿宋" w:hAnsi="仿宋"/>
          <w:sz w:val="28"/>
          <w:szCs w:val="28"/>
        </w:rPr>
        <w:t>QDII</w:t>
      </w:r>
      <w:r>
        <w:rPr>
          <w:rFonts w:ascii="仿宋" w:eastAsia="仿宋" w:hAnsi="仿宋" w:hint="eastAsia"/>
          <w:sz w:val="28"/>
          <w:szCs w:val="28"/>
        </w:rPr>
        <w:t>是</w:t>
      </w:r>
      <w:r>
        <w:rPr>
          <w:rFonts w:ascii="仿宋" w:eastAsia="仿宋" w:hAnsi="仿宋"/>
          <w:sz w:val="28"/>
          <w:szCs w:val="28"/>
        </w:rPr>
        <w:t>Qualified Domestic InstitutionalInvestors</w:t>
      </w:r>
      <w:r>
        <w:rPr>
          <w:rFonts w:ascii="仿宋" w:eastAsia="仿宋" w:hAnsi="仿宋" w:hint="eastAsia"/>
          <w:sz w:val="28"/>
          <w:szCs w:val="28"/>
        </w:rPr>
        <w:t>的首字母缩写。它是指在一国境内设立，经该国有关部门批准从事境外证券市场的股票、债券等有价证券投资的基金。它为国内投资者参与国际市场投资提供了便利。</w:t>
      </w:r>
    </w:p>
    <w:p w:rsidR="003475CB" w:rsidRDefault="001604FF">
      <w:pPr>
        <w:ind w:firstLine="42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5</w:t>
      </w:r>
      <w:r>
        <w:rPr>
          <w:rFonts w:ascii="仿宋" w:eastAsia="仿宋" w:hAnsi="仿宋" w:hint="eastAsia"/>
          <w:sz w:val="28"/>
          <w:szCs w:val="28"/>
        </w:rPr>
        <w:t>）分级基金。是指通过事先约定基金的风险收益分配，将基础份额分为预期风险收益不同的子份额，并可将其中部分或全部份额上市交易的结构化证券投资基金。</w:t>
      </w:r>
    </w:p>
    <w:p w:rsidR="003475CB" w:rsidRDefault="001604FF">
      <w:pPr>
        <w:ind w:firstLine="420"/>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6</w:t>
      </w:r>
      <w:r>
        <w:rPr>
          <w:rFonts w:ascii="仿宋" w:eastAsia="仿宋" w:hAnsi="仿宋" w:hint="eastAsia"/>
          <w:sz w:val="28"/>
          <w:szCs w:val="28"/>
        </w:rPr>
        <w:t>）基金中基金。基金中基金（以下简称：</w:t>
      </w:r>
      <w:r>
        <w:rPr>
          <w:rFonts w:ascii="仿宋" w:eastAsia="仿宋" w:hAnsi="仿宋"/>
          <w:sz w:val="28"/>
          <w:szCs w:val="28"/>
        </w:rPr>
        <w:t>FOF</w:t>
      </w:r>
      <w:r>
        <w:rPr>
          <w:rFonts w:ascii="仿宋" w:eastAsia="仿宋" w:hAnsi="仿宋" w:hint="eastAsia"/>
          <w:sz w:val="28"/>
          <w:szCs w:val="28"/>
        </w:rPr>
        <w:t>）是指以基金为主要投资标的的证券投资基金。</w:t>
      </w:r>
      <w:r>
        <w:rPr>
          <w:rFonts w:ascii="仿宋" w:eastAsia="仿宋" w:hAnsi="仿宋"/>
          <w:sz w:val="28"/>
          <w:szCs w:val="28"/>
        </w:rPr>
        <w:t xml:space="preserve">FOF </w:t>
      </w:r>
      <w:r>
        <w:rPr>
          <w:rFonts w:ascii="仿宋" w:eastAsia="仿宋" w:hAnsi="仿宋" w:hint="eastAsia"/>
          <w:sz w:val="28"/>
          <w:szCs w:val="28"/>
        </w:rPr>
        <w:t>通过持有多个基金，可进一步分散投资风险、优化资产配置，降低多样化基金投资门槛，为投资者提供专业化选基服务。</w:t>
      </w:r>
    </w:p>
    <w:p w:rsidR="003475CB" w:rsidRDefault="001604FF">
      <w:pPr>
        <w:pStyle w:val="af2"/>
        <w:numPr>
          <w:ilvl w:val="0"/>
          <w:numId w:val="2"/>
        </w:numPr>
        <w:ind w:firstLineChars="0"/>
        <w:rPr>
          <w:rFonts w:ascii="仿宋" w:eastAsia="仿宋" w:hAnsi="仿宋"/>
          <w:b/>
          <w:sz w:val="28"/>
          <w:szCs w:val="28"/>
        </w:rPr>
      </w:pPr>
      <w:r>
        <w:rPr>
          <w:rFonts w:ascii="仿宋" w:eastAsia="仿宋" w:hAnsi="仿宋" w:hint="eastAsia"/>
          <w:b/>
          <w:sz w:val="28"/>
          <w:szCs w:val="28"/>
        </w:rPr>
        <w:lastRenderedPageBreak/>
        <w:t>基金评级</w:t>
      </w:r>
    </w:p>
    <w:p w:rsidR="003475CB" w:rsidRDefault="001604FF">
      <w:pPr>
        <w:ind w:firstLine="420"/>
        <w:rPr>
          <w:rFonts w:ascii="仿宋" w:eastAsia="仿宋" w:hAnsi="仿宋"/>
          <w:sz w:val="28"/>
          <w:szCs w:val="28"/>
        </w:rPr>
      </w:pPr>
      <w:r>
        <w:rPr>
          <w:rFonts w:ascii="仿宋" w:eastAsia="仿宋" w:hAnsi="仿宋" w:hint="eastAsia"/>
          <w:sz w:val="28"/>
          <w:szCs w:val="28"/>
        </w:rPr>
        <w:t>基金评级是依据一定标准对基金产品进行分析从而做出优劣评价。投资人在投资基金时，可以适当参考基金评级结果，但切不可把基金评级作为选择基金的唯一依据。此外，基金评级是对基金管理人过往的业绩表现做出评价，并不代表基金未来长期业绩的表现。</w:t>
      </w:r>
    </w:p>
    <w:p w:rsidR="003475CB" w:rsidRDefault="001604FF">
      <w:pPr>
        <w:ind w:firstLineChars="200" w:firstLine="560"/>
        <w:rPr>
          <w:rFonts w:ascii="仿宋" w:eastAsia="仿宋" w:hAnsi="仿宋"/>
          <w:sz w:val="28"/>
          <w:szCs w:val="28"/>
        </w:rPr>
      </w:pPr>
      <w:r>
        <w:rPr>
          <w:rFonts w:ascii="仿宋" w:eastAsia="仿宋" w:hAnsi="仿宋" w:hint="eastAsia"/>
          <w:sz w:val="28"/>
          <w:szCs w:val="28"/>
        </w:rPr>
        <w:t>本公司将根据销售适用性原则，对基金管理人进行审慎调查，并对基金产品进行风险评价。</w:t>
      </w:r>
    </w:p>
    <w:p w:rsidR="003475CB" w:rsidRDefault="001604FF">
      <w:pPr>
        <w:pStyle w:val="af2"/>
        <w:numPr>
          <w:ilvl w:val="0"/>
          <w:numId w:val="2"/>
        </w:numPr>
        <w:ind w:firstLineChars="0"/>
        <w:rPr>
          <w:rFonts w:ascii="仿宋" w:eastAsia="仿宋" w:hAnsi="仿宋"/>
          <w:b/>
          <w:sz w:val="28"/>
          <w:szCs w:val="28"/>
        </w:rPr>
      </w:pPr>
      <w:r>
        <w:rPr>
          <w:rFonts w:ascii="仿宋" w:eastAsia="仿宋" w:hAnsi="仿宋" w:hint="eastAsia"/>
          <w:b/>
          <w:sz w:val="28"/>
          <w:szCs w:val="28"/>
        </w:rPr>
        <w:t>基金费用</w:t>
      </w:r>
    </w:p>
    <w:p w:rsidR="003475CB" w:rsidRDefault="001604FF">
      <w:pPr>
        <w:ind w:firstLine="420"/>
        <w:rPr>
          <w:rFonts w:ascii="仿宋" w:eastAsia="仿宋" w:hAnsi="仿宋"/>
          <w:sz w:val="28"/>
          <w:szCs w:val="28"/>
        </w:rPr>
      </w:pPr>
      <w:r>
        <w:rPr>
          <w:rFonts w:ascii="仿宋" w:eastAsia="仿宋" w:hAnsi="仿宋" w:hint="eastAsia"/>
          <w:sz w:val="28"/>
          <w:szCs w:val="28"/>
        </w:rPr>
        <w:t>基金费用一般包括两大类：一类是在基金销售过程中发生的由基金投资人自己承担的费用，主要包括认购费、申购费、赎回费和基金转换费。这些费用一般直接在投资人认购、申购、赎回或转换时收取。其中申购费可在投资人购买基金时收取，即前端申购费；也可在投资人卖出基金时收取，即后端申购费，其费率一般按持有期限递减。另一类是在基金管理过程中发生的费用，主要包括基金管理费、基金托管费等法律法规和《基金合同》约定的费用，这些费用由基金资产承担。对于不收取申购、赎回费的货币市场基金和部分债券基金，还可按《基金合同》从基金资产中计提一定的销售服务费，专门用于本基金的销售和对基金持有人的服务。</w:t>
      </w:r>
    </w:p>
    <w:p w:rsidR="003475CB" w:rsidRDefault="001604FF">
      <w:pPr>
        <w:pStyle w:val="af2"/>
        <w:numPr>
          <w:ilvl w:val="0"/>
          <w:numId w:val="1"/>
        </w:numPr>
        <w:ind w:firstLineChars="0"/>
        <w:rPr>
          <w:rFonts w:ascii="仿宋" w:eastAsia="仿宋" w:hAnsi="仿宋"/>
          <w:b/>
          <w:sz w:val="28"/>
          <w:szCs w:val="28"/>
        </w:rPr>
      </w:pPr>
      <w:r>
        <w:rPr>
          <w:rFonts w:ascii="仿宋" w:eastAsia="仿宋" w:hAnsi="仿宋" w:hint="eastAsia"/>
          <w:b/>
          <w:sz w:val="28"/>
          <w:szCs w:val="28"/>
        </w:rPr>
        <w:t>基金份额持有人的权利</w:t>
      </w:r>
    </w:p>
    <w:p w:rsidR="003475CB" w:rsidRDefault="001604FF">
      <w:pPr>
        <w:ind w:firstLine="420"/>
        <w:rPr>
          <w:rFonts w:ascii="仿宋" w:eastAsia="仿宋" w:hAnsi="仿宋"/>
          <w:sz w:val="28"/>
          <w:szCs w:val="28"/>
        </w:rPr>
      </w:pPr>
      <w:r>
        <w:rPr>
          <w:rFonts w:ascii="仿宋" w:eastAsia="仿宋" w:hAnsi="仿宋" w:hint="eastAsia"/>
          <w:sz w:val="28"/>
          <w:szCs w:val="28"/>
        </w:rPr>
        <w:t>根据《证券投资基金法》第</w:t>
      </w:r>
      <w:r>
        <w:rPr>
          <w:rFonts w:ascii="仿宋" w:eastAsia="仿宋" w:hAnsi="仿宋"/>
          <w:sz w:val="28"/>
          <w:szCs w:val="28"/>
        </w:rPr>
        <w:t>70</w:t>
      </w:r>
      <w:r>
        <w:rPr>
          <w:rFonts w:ascii="仿宋" w:eastAsia="仿宋" w:hAnsi="仿宋" w:hint="eastAsia"/>
          <w:sz w:val="28"/>
          <w:szCs w:val="28"/>
        </w:rPr>
        <w:t>条的规定，基金份额持有人享有下列权利：</w:t>
      </w:r>
    </w:p>
    <w:p w:rsidR="003475CB" w:rsidRDefault="001604FF">
      <w:pPr>
        <w:ind w:firstLine="420"/>
        <w:rPr>
          <w:rFonts w:ascii="仿宋" w:eastAsia="仿宋" w:hAnsi="仿宋"/>
          <w:sz w:val="28"/>
          <w:szCs w:val="28"/>
        </w:rPr>
      </w:pPr>
      <w:r>
        <w:rPr>
          <w:rFonts w:ascii="仿宋" w:eastAsia="仿宋" w:hAnsi="仿宋" w:hint="eastAsia"/>
          <w:sz w:val="28"/>
          <w:szCs w:val="28"/>
        </w:rPr>
        <w:t>（一）分享基金财产收益；</w:t>
      </w:r>
    </w:p>
    <w:p w:rsidR="003475CB" w:rsidRDefault="001604FF">
      <w:pPr>
        <w:ind w:firstLine="420"/>
        <w:rPr>
          <w:rFonts w:ascii="仿宋" w:eastAsia="仿宋" w:hAnsi="仿宋"/>
          <w:sz w:val="28"/>
          <w:szCs w:val="28"/>
        </w:rPr>
      </w:pPr>
      <w:r>
        <w:rPr>
          <w:rFonts w:ascii="仿宋" w:eastAsia="仿宋" w:hAnsi="仿宋" w:hint="eastAsia"/>
          <w:sz w:val="28"/>
          <w:szCs w:val="28"/>
        </w:rPr>
        <w:lastRenderedPageBreak/>
        <w:t>（二）参与分配清算后的剩余基金财产；</w:t>
      </w:r>
    </w:p>
    <w:p w:rsidR="003475CB" w:rsidRDefault="001604FF">
      <w:pPr>
        <w:ind w:firstLine="420"/>
        <w:rPr>
          <w:rFonts w:ascii="仿宋" w:eastAsia="仿宋" w:hAnsi="仿宋"/>
          <w:sz w:val="28"/>
          <w:szCs w:val="28"/>
        </w:rPr>
      </w:pPr>
      <w:r>
        <w:rPr>
          <w:rFonts w:ascii="仿宋" w:eastAsia="仿宋" w:hAnsi="仿宋" w:hint="eastAsia"/>
          <w:sz w:val="28"/>
          <w:szCs w:val="28"/>
        </w:rPr>
        <w:t>（三）依法转让或申请赎回其持有的基金份额；</w:t>
      </w:r>
    </w:p>
    <w:p w:rsidR="003475CB" w:rsidRDefault="001604FF">
      <w:pPr>
        <w:ind w:firstLine="420"/>
        <w:rPr>
          <w:rFonts w:ascii="仿宋" w:eastAsia="仿宋" w:hAnsi="仿宋"/>
          <w:sz w:val="28"/>
          <w:szCs w:val="28"/>
        </w:rPr>
      </w:pPr>
      <w:r>
        <w:rPr>
          <w:rFonts w:ascii="仿宋" w:eastAsia="仿宋" w:hAnsi="仿宋" w:hint="eastAsia"/>
          <w:sz w:val="28"/>
          <w:szCs w:val="28"/>
        </w:rPr>
        <w:t>（四）按照规定要求召开基金份额持有人大会；</w:t>
      </w:r>
    </w:p>
    <w:p w:rsidR="003475CB" w:rsidRDefault="001604FF">
      <w:pPr>
        <w:ind w:firstLine="420"/>
        <w:rPr>
          <w:rFonts w:ascii="仿宋" w:eastAsia="仿宋" w:hAnsi="仿宋"/>
          <w:sz w:val="28"/>
          <w:szCs w:val="28"/>
        </w:rPr>
      </w:pPr>
      <w:r>
        <w:rPr>
          <w:rFonts w:ascii="仿宋" w:eastAsia="仿宋" w:hAnsi="仿宋" w:hint="eastAsia"/>
          <w:sz w:val="28"/>
          <w:szCs w:val="28"/>
        </w:rPr>
        <w:t>（五）对基金份额持有人大会审议事项行使表决权；</w:t>
      </w:r>
    </w:p>
    <w:p w:rsidR="003475CB" w:rsidRDefault="001604FF">
      <w:pPr>
        <w:ind w:firstLine="420"/>
        <w:rPr>
          <w:rFonts w:ascii="仿宋" w:eastAsia="仿宋" w:hAnsi="仿宋"/>
          <w:sz w:val="28"/>
          <w:szCs w:val="28"/>
        </w:rPr>
      </w:pPr>
      <w:r>
        <w:rPr>
          <w:rFonts w:ascii="仿宋" w:eastAsia="仿宋" w:hAnsi="仿宋" w:hint="eastAsia"/>
          <w:sz w:val="28"/>
          <w:szCs w:val="28"/>
        </w:rPr>
        <w:t>（六）查阅或者复制公开披露的基金信息资料；</w:t>
      </w:r>
    </w:p>
    <w:p w:rsidR="003475CB" w:rsidRDefault="001604FF">
      <w:pPr>
        <w:ind w:firstLine="420"/>
        <w:rPr>
          <w:rFonts w:ascii="仿宋" w:eastAsia="仿宋" w:hAnsi="仿宋"/>
          <w:sz w:val="28"/>
          <w:szCs w:val="28"/>
        </w:rPr>
      </w:pPr>
      <w:r>
        <w:rPr>
          <w:rFonts w:ascii="仿宋" w:eastAsia="仿宋" w:hAnsi="仿宋" w:hint="eastAsia"/>
          <w:sz w:val="28"/>
          <w:szCs w:val="28"/>
        </w:rPr>
        <w:t>（七）对基金管理人、基金托管人、基金份额发售机构损害其合法权益的行为依法提起诉讼；</w:t>
      </w:r>
    </w:p>
    <w:p w:rsidR="003475CB" w:rsidRDefault="001604FF">
      <w:pPr>
        <w:ind w:firstLine="420"/>
        <w:rPr>
          <w:rFonts w:ascii="仿宋" w:eastAsia="仿宋" w:hAnsi="仿宋"/>
          <w:sz w:val="28"/>
          <w:szCs w:val="28"/>
        </w:rPr>
      </w:pPr>
      <w:r>
        <w:rPr>
          <w:rFonts w:ascii="仿宋" w:eastAsia="仿宋" w:hAnsi="仿宋" w:hint="eastAsia"/>
          <w:sz w:val="28"/>
          <w:szCs w:val="28"/>
        </w:rPr>
        <w:t>（八）基金合同约定的其它权利。</w:t>
      </w:r>
    </w:p>
    <w:p w:rsidR="003475CB" w:rsidRDefault="001604FF">
      <w:pPr>
        <w:pStyle w:val="af2"/>
        <w:numPr>
          <w:ilvl w:val="0"/>
          <w:numId w:val="1"/>
        </w:numPr>
        <w:ind w:firstLineChars="0"/>
        <w:rPr>
          <w:rFonts w:ascii="仿宋" w:eastAsia="仿宋" w:hAnsi="仿宋"/>
          <w:b/>
          <w:sz w:val="28"/>
          <w:szCs w:val="28"/>
        </w:rPr>
      </w:pPr>
      <w:r>
        <w:rPr>
          <w:rFonts w:ascii="仿宋" w:eastAsia="仿宋" w:hAnsi="仿宋" w:hint="eastAsia"/>
          <w:b/>
          <w:sz w:val="28"/>
          <w:szCs w:val="28"/>
        </w:rPr>
        <w:t>基金投资风险提示</w:t>
      </w:r>
    </w:p>
    <w:p w:rsidR="003475CB" w:rsidRDefault="001604FF">
      <w:pPr>
        <w:numPr>
          <w:ilvl w:val="0"/>
          <w:numId w:val="4"/>
        </w:numPr>
        <w:ind w:firstLine="420"/>
        <w:rPr>
          <w:rFonts w:ascii="仿宋" w:eastAsia="仿宋" w:hAnsi="仿宋"/>
          <w:sz w:val="28"/>
          <w:szCs w:val="28"/>
        </w:rPr>
      </w:pPr>
      <w:r>
        <w:rPr>
          <w:rFonts w:ascii="仿宋" w:eastAsia="仿宋" w:hAnsi="仿宋" w:hint="eastAsia"/>
          <w:sz w:val="28"/>
          <w:szCs w:val="28"/>
        </w:rPr>
        <w:t>投资有风险，投资需谨慎。公开募集证券投资基金（以下简称“基金”）是一种长期投资工具，其主要功能是分散投资，降低投资单一证券所带来的个别风险。基金不同于银行储蓄等能够提供固定收益预期的金融工具，当您购买基金产品时，既可能按持有份额分享基金投资所产生的收益，也可能承担基金投资所带来的亏损。</w:t>
      </w:r>
    </w:p>
    <w:p w:rsidR="003475CB" w:rsidRDefault="001604FF">
      <w:pPr>
        <w:numPr>
          <w:ilvl w:val="255"/>
          <w:numId w:val="0"/>
        </w:numPr>
        <w:ind w:firstLineChars="200" w:firstLine="560"/>
        <w:rPr>
          <w:rFonts w:ascii="仿宋" w:eastAsia="仿宋" w:hAnsi="仿宋"/>
          <w:sz w:val="28"/>
          <w:szCs w:val="28"/>
        </w:rPr>
      </w:pPr>
      <w:r>
        <w:rPr>
          <w:rFonts w:ascii="仿宋" w:eastAsia="仿宋" w:hAnsi="仿宋" w:hint="eastAsia"/>
          <w:sz w:val="28"/>
          <w:szCs w:val="28"/>
        </w:rPr>
        <w:t>您在做出投资决策之前，请仔细阅读基金合同、基金招募说明书和基金产品资料概要等产品法律文件和本风险揭示书，充分认识本基金的风险收益特征和产品特性，认真考虑本基金存在的各项风险因素，并根据自身的投资目的、投资期限、投资经验、资产状况等因素充分考虑自身的风险承受能力，在了解产品情况及销售适当性意见的基础上，理性判断并谨慎做出投资决策。</w:t>
      </w:r>
    </w:p>
    <w:p w:rsidR="003475CB" w:rsidRDefault="001604FF">
      <w:pPr>
        <w:numPr>
          <w:ilvl w:val="255"/>
          <w:numId w:val="0"/>
        </w:numPr>
        <w:ind w:firstLineChars="200" w:firstLine="560"/>
        <w:rPr>
          <w:rFonts w:ascii="仿宋" w:eastAsia="仿宋" w:hAnsi="仿宋"/>
          <w:sz w:val="28"/>
          <w:szCs w:val="28"/>
        </w:rPr>
      </w:pPr>
      <w:r>
        <w:rPr>
          <w:rFonts w:ascii="仿宋" w:eastAsia="仿宋" w:hAnsi="仿宋" w:hint="eastAsia"/>
          <w:sz w:val="28"/>
          <w:szCs w:val="28"/>
        </w:rPr>
        <w:t>依据投资对象的不同,基金分为股票基金、混合基金、债券基金、货币市场基金、基金中基金、商品基金等不同类型，您投资不同类型</w:t>
      </w:r>
      <w:r>
        <w:rPr>
          <w:rFonts w:ascii="仿宋" w:eastAsia="仿宋" w:hAnsi="仿宋" w:hint="eastAsia"/>
          <w:sz w:val="28"/>
          <w:szCs w:val="28"/>
        </w:rPr>
        <w:lastRenderedPageBreak/>
        <w:t>的基金将获得不同的收益预期，也将承担不同程度的风险。一般来说，基金的收益预期越高，您承担的风险也越大。</w:t>
      </w:r>
    </w:p>
    <w:p w:rsidR="003475CB" w:rsidRDefault="001604FF">
      <w:pPr>
        <w:ind w:firstLine="420"/>
        <w:rPr>
          <w:rFonts w:ascii="仿宋" w:eastAsia="仿宋" w:hAnsi="仿宋"/>
          <w:sz w:val="28"/>
          <w:szCs w:val="28"/>
        </w:rPr>
      </w:pPr>
      <w:r>
        <w:rPr>
          <w:rFonts w:ascii="仿宋" w:eastAsia="仿宋" w:hAnsi="仿宋" w:hint="eastAsia"/>
          <w:sz w:val="28"/>
          <w:szCs w:val="28"/>
        </w:rPr>
        <w:t>（二）基金在投资运作过程中可能面临各种风险，既包括市场风险，也包括基金自身的管理风险、技术风险和合规风险等。巨额赎回风险是开放式基金所特有的一种风险，即当单个交易日基金的净赎回申请超过基金总份额的一定比例（开放式基金为百分之十，定期开放基金为百分之二十，中国证监会规定的特殊产品除外）时，您将可能无法及时赎回申请的全部基金份额，或您赎回的款项可能延缓支付。</w:t>
      </w:r>
    </w:p>
    <w:p w:rsidR="003475CB" w:rsidRDefault="001604FF">
      <w:pPr>
        <w:ind w:firstLine="420"/>
        <w:rPr>
          <w:rFonts w:ascii="仿宋" w:eastAsia="仿宋" w:hAnsi="仿宋"/>
          <w:sz w:val="28"/>
          <w:szCs w:val="28"/>
        </w:rPr>
      </w:pPr>
      <w:r>
        <w:rPr>
          <w:rFonts w:ascii="仿宋" w:eastAsia="仿宋" w:hAnsi="仿宋" w:hint="eastAsia"/>
          <w:sz w:val="28"/>
          <w:szCs w:val="28"/>
        </w:rPr>
        <w:t>（三）基金投资人应当充分了解基金定期定额投资和零存整取等储蓄方式的区别。定期定额投资是引导投资人进行长期投资、平均投资成本的一种简单易行的投资方式，但并不能规避基金投资所固有的风险，不能保证投资人获得收益，也不是替代储蓄的等效理财方式。</w:t>
      </w:r>
    </w:p>
    <w:p w:rsidR="003475CB" w:rsidRDefault="001604FF">
      <w:pPr>
        <w:ind w:firstLine="420"/>
        <w:rPr>
          <w:rFonts w:ascii="仿宋" w:eastAsia="仿宋" w:hAnsi="仿宋"/>
          <w:sz w:val="28"/>
          <w:szCs w:val="28"/>
        </w:rPr>
      </w:pPr>
      <w:r>
        <w:rPr>
          <w:rFonts w:ascii="仿宋" w:eastAsia="仿宋" w:hAnsi="仿宋" w:hint="eastAsia"/>
          <w:sz w:val="28"/>
          <w:szCs w:val="28"/>
        </w:rPr>
        <w:t>（四）基金管理人承诺以诚实守信、勤勉尽责的原则管理和运用基金资产，但不保证旗下基金一定盈利，也不保证最低收益。旗下基金的过往业绩及其净值高低并不预示其未来业绩表现。基金管理人提醒投资人基金投资的“买者自负”原则，在做出投资决策后，基金运营状况与基金净值变化引致的投资风险，由投资人自行负担。</w:t>
      </w:r>
    </w:p>
    <w:p w:rsidR="003475CB" w:rsidRDefault="001604FF">
      <w:pPr>
        <w:ind w:firstLine="420"/>
        <w:rPr>
          <w:rFonts w:ascii="仿宋" w:eastAsia="仿宋" w:hAnsi="仿宋"/>
          <w:sz w:val="28"/>
          <w:szCs w:val="28"/>
        </w:rPr>
      </w:pPr>
      <w:r>
        <w:rPr>
          <w:rFonts w:ascii="仿宋" w:eastAsia="仿宋" w:hAnsi="仿宋" w:hint="eastAsia"/>
          <w:sz w:val="28"/>
          <w:szCs w:val="28"/>
        </w:rPr>
        <w:t>（五）本公司将对基金投资人的风险承受能力进行调查和评价，并根据基金投资人的风险承受能力展示与之风险等级相匹配的基金，仅供投资人参考，在任何情况下不作为对任何人的投资建议或出售投资标的的邀请。投资人应根据自身风险承受能力选择基金产品并自行承担投资基金的风险。</w:t>
      </w:r>
    </w:p>
    <w:p w:rsidR="003475CB" w:rsidRDefault="001604FF">
      <w:pPr>
        <w:pStyle w:val="af2"/>
        <w:numPr>
          <w:ilvl w:val="0"/>
          <w:numId w:val="1"/>
        </w:numPr>
        <w:ind w:firstLineChars="0"/>
        <w:rPr>
          <w:rFonts w:ascii="仿宋" w:eastAsia="仿宋" w:hAnsi="仿宋"/>
          <w:b/>
          <w:sz w:val="28"/>
          <w:szCs w:val="28"/>
        </w:rPr>
      </w:pPr>
      <w:r>
        <w:rPr>
          <w:rFonts w:ascii="仿宋" w:eastAsia="仿宋" w:hAnsi="仿宋" w:hint="eastAsia"/>
          <w:b/>
          <w:sz w:val="28"/>
          <w:szCs w:val="28"/>
        </w:rPr>
        <w:lastRenderedPageBreak/>
        <w:t>服务内容和收费方式</w:t>
      </w:r>
    </w:p>
    <w:p w:rsidR="003475CB" w:rsidRDefault="001604FF">
      <w:pPr>
        <w:ind w:firstLine="420"/>
        <w:rPr>
          <w:rFonts w:ascii="仿宋" w:eastAsia="仿宋" w:hAnsi="仿宋"/>
          <w:sz w:val="28"/>
          <w:szCs w:val="28"/>
        </w:rPr>
      </w:pPr>
      <w:r>
        <w:rPr>
          <w:rFonts w:ascii="仿宋" w:eastAsia="仿宋" w:hAnsi="仿宋" w:hint="eastAsia"/>
          <w:sz w:val="28"/>
          <w:szCs w:val="28"/>
        </w:rPr>
        <w:t>本公司向基金投资人提供以下服务：</w:t>
      </w:r>
    </w:p>
    <w:p w:rsidR="003475CB" w:rsidRDefault="001604FF">
      <w:pPr>
        <w:ind w:firstLine="420"/>
        <w:rPr>
          <w:rFonts w:ascii="仿宋" w:eastAsia="仿宋" w:hAnsi="仿宋"/>
          <w:sz w:val="28"/>
          <w:szCs w:val="28"/>
        </w:rPr>
      </w:pPr>
      <w:r>
        <w:rPr>
          <w:rFonts w:ascii="仿宋" w:eastAsia="仿宋" w:hAnsi="仿宋" w:hint="eastAsia"/>
          <w:sz w:val="28"/>
          <w:szCs w:val="28"/>
        </w:rPr>
        <w:t>（一）对基金投资人的风险承受能力进行调查和评价。</w:t>
      </w:r>
    </w:p>
    <w:p w:rsidR="003475CB" w:rsidRDefault="001604FF">
      <w:pPr>
        <w:ind w:firstLine="420"/>
        <w:rPr>
          <w:rFonts w:ascii="仿宋" w:eastAsia="仿宋" w:hAnsi="仿宋"/>
          <w:sz w:val="28"/>
          <w:szCs w:val="28"/>
        </w:rPr>
      </w:pPr>
      <w:r>
        <w:rPr>
          <w:rFonts w:ascii="仿宋" w:eastAsia="仿宋" w:hAnsi="仿宋" w:hint="eastAsia"/>
          <w:sz w:val="28"/>
          <w:szCs w:val="28"/>
        </w:rPr>
        <w:t>（二）基金销售业务，包括基金账户开户、基金申（认）购、基金赎回、基金转换、定额定投、修改基金分红方式等。本公司根据每只基金的发行公告及基金管理公司发布的其它相关公告收取相应的申（认）购、赎回费和转换费。</w:t>
      </w:r>
    </w:p>
    <w:p w:rsidR="003475CB" w:rsidRDefault="001604FF">
      <w:pPr>
        <w:ind w:firstLine="420"/>
        <w:rPr>
          <w:rFonts w:ascii="仿宋" w:eastAsia="仿宋" w:hAnsi="仿宋"/>
          <w:sz w:val="28"/>
          <w:szCs w:val="28"/>
        </w:rPr>
      </w:pPr>
      <w:r>
        <w:rPr>
          <w:rFonts w:ascii="仿宋" w:eastAsia="仿宋" w:hAnsi="仿宋" w:hint="eastAsia"/>
          <w:sz w:val="28"/>
          <w:szCs w:val="28"/>
        </w:rPr>
        <w:t>（三）基金网上交易服务。</w:t>
      </w:r>
    </w:p>
    <w:p w:rsidR="003475CB" w:rsidRDefault="001604FF">
      <w:pPr>
        <w:ind w:firstLine="420"/>
        <w:rPr>
          <w:rFonts w:ascii="仿宋" w:eastAsia="仿宋" w:hAnsi="仿宋"/>
          <w:sz w:val="28"/>
          <w:szCs w:val="28"/>
        </w:rPr>
      </w:pPr>
      <w:r>
        <w:rPr>
          <w:rFonts w:ascii="仿宋" w:eastAsia="仿宋" w:hAnsi="仿宋" w:hint="eastAsia"/>
          <w:sz w:val="28"/>
          <w:szCs w:val="28"/>
        </w:rPr>
        <w:t>（四）基金净值、分红提示、交易确认等短信服务。</w:t>
      </w:r>
    </w:p>
    <w:p w:rsidR="003475CB" w:rsidRDefault="001604FF">
      <w:pPr>
        <w:ind w:firstLine="420"/>
        <w:rPr>
          <w:rFonts w:ascii="仿宋" w:eastAsia="仿宋" w:hAnsi="仿宋"/>
          <w:sz w:val="28"/>
          <w:szCs w:val="28"/>
        </w:rPr>
      </w:pPr>
      <w:r>
        <w:rPr>
          <w:rFonts w:ascii="仿宋" w:eastAsia="仿宋" w:hAnsi="仿宋" w:hint="eastAsia"/>
          <w:sz w:val="28"/>
          <w:szCs w:val="28"/>
        </w:rPr>
        <w:t>（五）电话咨询、电话自助查询服务。</w:t>
      </w:r>
    </w:p>
    <w:p w:rsidR="003475CB" w:rsidRDefault="001604FF">
      <w:pPr>
        <w:ind w:firstLine="420"/>
        <w:rPr>
          <w:rFonts w:ascii="仿宋" w:eastAsia="仿宋" w:hAnsi="仿宋"/>
          <w:sz w:val="28"/>
          <w:szCs w:val="28"/>
        </w:rPr>
      </w:pPr>
      <w:r>
        <w:rPr>
          <w:rFonts w:ascii="仿宋" w:eastAsia="仿宋" w:hAnsi="仿宋" w:hint="eastAsia"/>
          <w:sz w:val="28"/>
          <w:szCs w:val="28"/>
        </w:rPr>
        <w:t>（六）基金知识普及和风险教育。</w:t>
      </w:r>
    </w:p>
    <w:p w:rsidR="003475CB" w:rsidRDefault="001604FF">
      <w:pPr>
        <w:pStyle w:val="af2"/>
        <w:numPr>
          <w:ilvl w:val="0"/>
          <w:numId w:val="1"/>
        </w:numPr>
        <w:ind w:firstLineChars="0"/>
        <w:rPr>
          <w:rFonts w:ascii="仿宋" w:eastAsia="仿宋" w:hAnsi="仿宋"/>
          <w:b/>
          <w:sz w:val="28"/>
          <w:szCs w:val="28"/>
        </w:rPr>
      </w:pPr>
      <w:r>
        <w:rPr>
          <w:rFonts w:ascii="仿宋" w:eastAsia="仿宋" w:hAnsi="仿宋" w:hint="eastAsia"/>
          <w:b/>
          <w:sz w:val="28"/>
          <w:szCs w:val="28"/>
        </w:rPr>
        <w:t>直销柜台基金交易业务流程</w:t>
      </w:r>
    </w:p>
    <w:p w:rsidR="003475CB" w:rsidRDefault="001604FF">
      <w:pPr>
        <w:ind w:firstLine="42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．开立基金账户：</w:t>
      </w:r>
    </w:p>
    <w:p w:rsidR="003475CB" w:rsidRDefault="001604FF">
      <w:pPr>
        <w:ind w:firstLine="420"/>
        <w:rPr>
          <w:rFonts w:ascii="仿宋" w:eastAsia="仿宋" w:hAnsi="仿宋"/>
          <w:sz w:val="28"/>
          <w:szCs w:val="28"/>
        </w:rPr>
      </w:pPr>
      <w:r>
        <w:rPr>
          <w:rFonts w:ascii="仿宋" w:eastAsia="仿宋" w:hAnsi="仿宋" w:hint="eastAsia"/>
          <w:sz w:val="28"/>
          <w:szCs w:val="28"/>
        </w:rPr>
        <w:t>如投资者以前未在本公司的任何销售机构开立过基金账户，须首先按照《直销柜台业务办理指南》规定的资料提出开户申请。</w:t>
      </w:r>
    </w:p>
    <w:p w:rsidR="003475CB" w:rsidRDefault="001604FF">
      <w:pPr>
        <w:ind w:firstLine="42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．认购</w:t>
      </w:r>
      <w:r>
        <w:rPr>
          <w:rFonts w:ascii="仿宋" w:eastAsia="仿宋" w:hAnsi="仿宋"/>
          <w:sz w:val="28"/>
          <w:szCs w:val="28"/>
        </w:rPr>
        <w:t>/</w:t>
      </w:r>
      <w:r>
        <w:rPr>
          <w:rFonts w:ascii="仿宋" w:eastAsia="仿宋" w:hAnsi="仿宋" w:hint="eastAsia"/>
          <w:sz w:val="28"/>
          <w:szCs w:val="28"/>
        </w:rPr>
        <w:t>申购基金：</w:t>
      </w:r>
    </w:p>
    <w:p w:rsidR="003475CB" w:rsidRDefault="001604FF">
      <w:pPr>
        <w:ind w:firstLine="420"/>
        <w:rPr>
          <w:rFonts w:ascii="仿宋" w:eastAsia="仿宋" w:hAnsi="仿宋"/>
          <w:sz w:val="28"/>
          <w:szCs w:val="28"/>
        </w:rPr>
      </w:pPr>
      <w:r>
        <w:rPr>
          <w:rFonts w:ascii="仿宋" w:eastAsia="仿宋" w:hAnsi="仿宋" w:hint="eastAsia"/>
          <w:sz w:val="28"/>
          <w:szCs w:val="28"/>
        </w:rPr>
        <w:t>开户成功以后，投资者须按《直销柜台业务办理指南》规定的手续，在开放日的办理时间内，提出认购</w:t>
      </w:r>
      <w:r>
        <w:rPr>
          <w:rFonts w:ascii="仿宋" w:eastAsia="仿宋" w:hAnsi="仿宋"/>
          <w:sz w:val="28"/>
          <w:szCs w:val="28"/>
        </w:rPr>
        <w:t>/</w:t>
      </w:r>
      <w:r>
        <w:rPr>
          <w:rFonts w:ascii="仿宋" w:eastAsia="仿宋" w:hAnsi="仿宋" w:hint="eastAsia"/>
          <w:sz w:val="28"/>
          <w:szCs w:val="28"/>
        </w:rPr>
        <w:t>申购申请，并按《直销柜台业务办理指南》规定的方式全额交付认购</w:t>
      </w:r>
      <w:r>
        <w:rPr>
          <w:rFonts w:ascii="仿宋" w:eastAsia="仿宋" w:hAnsi="仿宋"/>
          <w:sz w:val="28"/>
          <w:szCs w:val="28"/>
        </w:rPr>
        <w:t>/</w:t>
      </w:r>
      <w:r>
        <w:rPr>
          <w:rFonts w:ascii="仿宋" w:eastAsia="仿宋" w:hAnsi="仿宋" w:hint="eastAsia"/>
          <w:sz w:val="28"/>
          <w:szCs w:val="28"/>
        </w:rPr>
        <w:t>申购款项。</w:t>
      </w:r>
    </w:p>
    <w:p w:rsidR="003475CB" w:rsidRDefault="001604FF">
      <w:pPr>
        <w:ind w:firstLine="420"/>
        <w:rPr>
          <w:rFonts w:ascii="仿宋" w:eastAsia="仿宋" w:hAnsi="仿宋"/>
          <w:sz w:val="28"/>
          <w:szCs w:val="28"/>
        </w:rPr>
      </w:pPr>
      <w:r>
        <w:rPr>
          <w:rFonts w:ascii="仿宋" w:eastAsia="仿宋" w:hAnsi="仿宋" w:hint="eastAsia"/>
          <w:sz w:val="28"/>
          <w:szCs w:val="28"/>
        </w:rPr>
        <w:t>直销中心受理投资者的认购</w:t>
      </w:r>
      <w:r>
        <w:rPr>
          <w:rFonts w:ascii="仿宋" w:eastAsia="仿宋" w:hAnsi="仿宋"/>
          <w:sz w:val="28"/>
          <w:szCs w:val="28"/>
        </w:rPr>
        <w:t>/</w:t>
      </w:r>
      <w:r>
        <w:rPr>
          <w:rFonts w:ascii="仿宋" w:eastAsia="仿宋" w:hAnsi="仿宋" w:hint="eastAsia"/>
          <w:sz w:val="28"/>
          <w:szCs w:val="28"/>
        </w:rPr>
        <w:t>申购申请并不代表该申请一定成功，而仅代表直销中心确实接收到该申请。认购</w:t>
      </w:r>
      <w:r>
        <w:rPr>
          <w:rFonts w:ascii="仿宋" w:eastAsia="仿宋" w:hAnsi="仿宋"/>
          <w:sz w:val="28"/>
          <w:szCs w:val="28"/>
        </w:rPr>
        <w:t>/</w:t>
      </w:r>
      <w:r>
        <w:rPr>
          <w:rFonts w:ascii="仿宋" w:eastAsia="仿宋" w:hAnsi="仿宋" w:hint="eastAsia"/>
          <w:sz w:val="28"/>
          <w:szCs w:val="28"/>
        </w:rPr>
        <w:t>申购的确认以注册登记机构的确认结果为准。</w:t>
      </w:r>
    </w:p>
    <w:p w:rsidR="003475CB" w:rsidRDefault="001604FF">
      <w:pPr>
        <w:ind w:firstLine="420"/>
        <w:rPr>
          <w:rFonts w:ascii="仿宋" w:eastAsia="仿宋" w:hAnsi="仿宋"/>
          <w:sz w:val="28"/>
          <w:szCs w:val="28"/>
        </w:rPr>
      </w:pPr>
      <w:r>
        <w:rPr>
          <w:rFonts w:ascii="仿宋" w:eastAsia="仿宋" w:hAnsi="仿宋"/>
          <w:sz w:val="28"/>
          <w:szCs w:val="28"/>
        </w:rPr>
        <w:lastRenderedPageBreak/>
        <w:t>3</w:t>
      </w:r>
      <w:r>
        <w:rPr>
          <w:rFonts w:ascii="仿宋" w:eastAsia="仿宋" w:hAnsi="仿宋" w:hint="eastAsia"/>
          <w:sz w:val="28"/>
          <w:szCs w:val="28"/>
        </w:rPr>
        <w:t>．设置基金分红方式：</w:t>
      </w:r>
    </w:p>
    <w:p w:rsidR="003475CB" w:rsidRDefault="001604FF">
      <w:pPr>
        <w:ind w:firstLine="420"/>
        <w:rPr>
          <w:rFonts w:ascii="仿宋" w:eastAsia="仿宋" w:hAnsi="仿宋"/>
          <w:sz w:val="28"/>
          <w:szCs w:val="28"/>
        </w:rPr>
      </w:pPr>
      <w:r>
        <w:rPr>
          <w:rFonts w:ascii="仿宋" w:eastAsia="仿宋" w:hAnsi="仿宋" w:hint="eastAsia"/>
          <w:sz w:val="28"/>
          <w:szCs w:val="28"/>
        </w:rPr>
        <w:t>对于已经购买的基金，除特别规定的基金分红方式不可更改以外，投资者可以按照《直销柜台业务办理指南》规定的手续提出选择现金分红或红利再投资的业务申请。</w:t>
      </w:r>
    </w:p>
    <w:p w:rsidR="003475CB" w:rsidRDefault="001604FF">
      <w:pPr>
        <w:ind w:firstLine="420"/>
        <w:rPr>
          <w:rFonts w:ascii="仿宋" w:eastAsia="仿宋" w:hAnsi="仿宋"/>
          <w:sz w:val="28"/>
          <w:szCs w:val="28"/>
        </w:rPr>
      </w:pPr>
      <w:r>
        <w:rPr>
          <w:rFonts w:ascii="仿宋" w:eastAsia="仿宋" w:hAnsi="仿宋"/>
          <w:sz w:val="28"/>
          <w:szCs w:val="28"/>
        </w:rPr>
        <w:t xml:space="preserve">4. </w:t>
      </w:r>
      <w:r>
        <w:rPr>
          <w:rFonts w:ascii="仿宋" w:eastAsia="仿宋" w:hAnsi="仿宋" w:hint="eastAsia"/>
          <w:sz w:val="28"/>
          <w:szCs w:val="28"/>
        </w:rPr>
        <w:t>赎回基金：</w:t>
      </w:r>
    </w:p>
    <w:p w:rsidR="003475CB" w:rsidRDefault="001604FF">
      <w:pPr>
        <w:ind w:firstLine="420"/>
        <w:rPr>
          <w:rFonts w:ascii="仿宋" w:eastAsia="仿宋" w:hAnsi="仿宋"/>
          <w:sz w:val="28"/>
          <w:szCs w:val="28"/>
        </w:rPr>
      </w:pPr>
      <w:r>
        <w:rPr>
          <w:rFonts w:ascii="仿宋" w:eastAsia="仿宋" w:hAnsi="仿宋" w:hint="eastAsia"/>
          <w:sz w:val="28"/>
          <w:szCs w:val="28"/>
        </w:rPr>
        <w:t>投资者须按《直销柜台业务办理指南》规定的手续，在开放日办理时间内提出赎回申请，投资者提交赎回申请时，在直销中心必须有足够相应份额的基金，否则所提交的赎回申请无效而不予成交。</w:t>
      </w:r>
    </w:p>
    <w:p w:rsidR="003475CB" w:rsidRDefault="001604FF">
      <w:pPr>
        <w:ind w:firstLine="420"/>
        <w:rPr>
          <w:rFonts w:ascii="仿宋" w:eastAsia="仿宋" w:hAnsi="仿宋"/>
          <w:sz w:val="28"/>
          <w:szCs w:val="28"/>
        </w:rPr>
      </w:pPr>
      <w:r>
        <w:rPr>
          <w:rFonts w:ascii="仿宋" w:eastAsia="仿宋" w:hAnsi="仿宋" w:hint="eastAsia"/>
          <w:sz w:val="28"/>
          <w:szCs w:val="28"/>
        </w:rPr>
        <w:t>直销中心受理投资者的赎回申请并不代表该申请一定成功，而仅代表直销中心确实接收到该申请。赎回的确认以注册登记机构的确认结果为准。</w:t>
      </w:r>
    </w:p>
    <w:p w:rsidR="003475CB" w:rsidRDefault="001604FF">
      <w:pPr>
        <w:ind w:firstLine="420"/>
        <w:rPr>
          <w:rFonts w:ascii="仿宋" w:eastAsia="仿宋" w:hAnsi="仿宋"/>
          <w:sz w:val="28"/>
          <w:szCs w:val="28"/>
        </w:rPr>
      </w:pPr>
      <w:r>
        <w:rPr>
          <w:rFonts w:ascii="仿宋" w:eastAsia="仿宋" w:hAnsi="仿宋"/>
          <w:sz w:val="28"/>
          <w:szCs w:val="28"/>
        </w:rPr>
        <w:t xml:space="preserve">5. </w:t>
      </w:r>
      <w:r>
        <w:rPr>
          <w:rFonts w:ascii="仿宋" w:eastAsia="仿宋" w:hAnsi="仿宋" w:hint="eastAsia"/>
          <w:sz w:val="28"/>
          <w:szCs w:val="28"/>
        </w:rPr>
        <w:t>其他业务申请</w:t>
      </w:r>
    </w:p>
    <w:p w:rsidR="003475CB" w:rsidRDefault="001604FF">
      <w:pPr>
        <w:ind w:firstLine="420"/>
        <w:rPr>
          <w:rFonts w:ascii="仿宋" w:eastAsia="仿宋" w:hAnsi="仿宋"/>
          <w:sz w:val="28"/>
          <w:szCs w:val="28"/>
        </w:rPr>
      </w:pPr>
      <w:r>
        <w:rPr>
          <w:rFonts w:ascii="仿宋" w:eastAsia="仿宋" w:hAnsi="仿宋" w:hint="eastAsia"/>
          <w:sz w:val="28"/>
          <w:szCs w:val="28"/>
        </w:rPr>
        <w:t>投资者须按《直销柜台业务办理指南》规定的手续，在开放日办理时间内提出其他业务申请。直销中心受理投资者的其他业务申请并不代表该申请一定成功，而仅代表直销中心确实接收到该申请。其他业务申请的确认以注册登记机构的确认结果为准。</w:t>
      </w:r>
    </w:p>
    <w:p w:rsidR="003475CB" w:rsidRDefault="001604FF">
      <w:pPr>
        <w:ind w:firstLine="420"/>
        <w:rPr>
          <w:rFonts w:ascii="仿宋" w:eastAsia="仿宋" w:hAnsi="仿宋"/>
          <w:sz w:val="28"/>
          <w:szCs w:val="28"/>
        </w:rPr>
      </w:pPr>
      <w:r>
        <w:rPr>
          <w:rFonts w:ascii="仿宋" w:eastAsia="仿宋" w:hAnsi="仿宋" w:hint="eastAsia"/>
          <w:sz w:val="28"/>
          <w:szCs w:val="28"/>
        </w:rPr>
        <w:t>具体办理流程可致电本公司客服电话</w:t>
      </w:r>
      <w:r>
        <w:rPr>
          <w:rFonts w:ascii="仿宋" w:eastAsia="仿宋" w:hAnsi="仿宋"/>
          <w:sz w:val="28"/>
          <w:szCs w:val="28"/>
        </w:rPr>
        <w:t>4009835858</w:t>
      </w:r>
      <w:r w:rsidR="007A6BEB">
        <w:rPr>
          <w:rFonts w:ascii="仿宋" w:eastAsia="仿宋" w:hAnsi="仿宋" w:hint="eastAsia"/>
          <w:sz w:val="28"/>
          <w:szCs w:val="28"/>
        </w:rPr>
        <w:t>，</w:t>
      </w:r>
      <w:r>
        <w:rPr>
          <w:rFonts w:ascii="仿宋" w:eastAsia="仿宋" w:hAnsi="仿宋" w:hint="eastAsia"/>
          <w:sz w:val="28"/>
          <w:szCs w:val="28"/>
        </w:rPr>
        <w:t>具体办理业务的规则，请详细阅读《直销柜台业务办理指南》，需要提醒的是，相关业务规则可能会根据实际情况予以调整，请留意本公司网站上的最新《直销柜台业务办理指南》。</w:t>
      </w:r>
    </w:p>
    <w:p w:rsidR="003475CB" w:rsidRDefault="001604FF">
      <w:pPr>
        <w:pStyle w:val="af2"/>
        <w:numPr>
          <w:ilvl w:val="0"/>
          <w:numId w:val="1"/>
        </w:numPr>
        <w:ind w:left="142" w:firstLineChars="0" w:firstLine="284"/>
        <w:rPr>
          <w:rFonts w:ascii="仿宋" w:eastAsia="仿宋" w:hAnsi="仿宋"/>
          <w:b/>
          <w:sz w:val="28"/>
          <w:szCs w:val="28"/>
        </w:rPr>
      </w:pPr>
      <w:r>
        <w:rPr>
          <w:rFonts w:ascii="仿宋" w:eastAsia="仿宋" w:hAnsi="仿宋" w:hint="eastAsia"/>
          <w:b/>
          <w:sz w:val="28"/>
          <w:szCs w:val="28"/>
        </w:rPr>
        <w:t>本《须知》有关内容将根据法律法规及监管机构或行业协会的要求或本公司业务情况的变化不时修订。</w:t>
      </w:r>
    </w:p>
    <w:p w:rsidR="003475CB" w:rsidRDefault="001604FF">
      <w:pPr>
        <w:pStyle w:val="af2"/>
        <w:numPr>
          <w:ilvl w:val="0"/>
          <w:numId w:val="1"/>
        </w:numPr>
        <w:ind w:firstLineChars="0"/>
        <w:rPr>
          <w:rFonts w:ascii="仿宋" w:eastAsia="仿宋" w:hAnsi="仿宋"/>
          <w:b/>
          <w:sz w:val="28"/>
          <w:szCs w:val="28"/>
        </w:rPr>
      </w:pPr>
      <w:r>
        <w:rPr>
          <w:rFonts w:ascii="仿宋" w:eastAsia="仿宋" w:hAnsi="仿宋" w:hint="eastAsia"/>
          <w:b/>
          <w:sz w:val="28"/>
          <w:szCs w:val="28"/>
        </w:rPr>
        <w:lastRenderedPageBreak/>
        <w:t>投诉处理和联系方式</w:t>
      </w:r>
    </w:p>
    <w:p w:rsidR="003475CB" w:rsidRDefault="001604FF">
      <w:pPr>
        <w:ind w:firstLine="420"/>
        <w:rPr>
          <w:rFonts w:ascii="仿宋" w:eastAsia="仿宋" w:hAnsi="仿宋"/>
          <w:sz w:val="28"/>
          <w:szCs w:val="28"/>
        </w:rPr>
      </w:pPr>
      <w:r>
        <w:rPr>
          <w:rFonts w:ascii="仿宋" w:eastAsia="仿宋" w:hAnsi="仿宋" w:hint="eastAsia"/>
          <w:sz w:val="28"/>
          <w:szCs w:val="28"/>
        </w:rPr>
        <w:t>（一）基金投资人可以通过拨打本公司客户服务中心电话</w:t>
      </w:r>
      <w:r>
        <w:rPr>
          <w:rFonts w:ascii="仿宋" w:eastAsia="仿宋" w:hAnsi="仿宋"/>
          <w:sz w:val="28"/>
          <w:szCs w:val="28"/>
        </w:rPr>
        <w:t>4009835858</w:t>
      </w:r>
      <w:r>
        <w:rPr>
          <w:rFonts w:ascii="仿宋" w:eastAsia="仿宋" w:hAnsi="仿宋" w:hint="eastAsia"/>
          <w:sz w:val="28"/>
          <w:szCs w:val="28"/>
        </w:rPr>
        <w:t>或以书信、传真、电子邮件等方式，对本公司及各基金代销机构所提供的服务提出建议或投诉。对于工作日受理的投诉，我们承诺尽量在收到投资者投诉与建议的原2个工作日内做出回应，不能及时解决的投诉，我们将就投诉处理进度及时向投诉人作出定期更新。</w:t>
      </w:r>
    </w:p>
    <w:p w:rsidR="003475CB" w:rsidRDefault="001604FF">
      <w:pPr>
        <w:widowControl/>
        <w:spacing w:afterLines="50" w:after="156"/>
        <w:ind w:firstLine="420"/>
        <w:rPr>
          <w:color w:val="222A35"/>
        </w:rPr>
      </w:pPr>
      <w:r>
        <w:rPr>
          <w:rFonts w:ascii="仿宋" w:eastAsia="仿宋" w:hAnsi="仿宋" w:hint="eastAsia"/>
          <w:sz w:val="28"/>
          <w:szCs w:val="28"/>
        </w:rPr>
        <w:t>（二）</w:t>
      </w:r>
      <w:r>
        <w:rPr>
          <w:rFonts w:ascii="仿宋" w:eastAsia="仿宋" w:hAnsi="仿宋" w:hint="eastAsia"/>
          <w:sz w:val="28"/>
          <w:szCs w:val="28"/>
          <w:lang w:bidi="ar"/>
        </w:rPr>
        <w:t>除了向本公司提出投诉与建议之外，投资人还可以通过以下渠道反馈意见或建议：</w:t>
      </w:r>
    </w:p>
    <w:p w:rsidR="003475CB" w:rsidRDefault="001604FF">
      <w:pPr>
        <w:pStyle w:val="ab"/>
        <w:shd w:val="clear" w:color="auto" w:fill="FFFFFF"/>
        <w:spacing w:before="0" w:beforeAutospacing="0" w:after="0" w:afterAutospacing="0" w:line="360" w:lineRule="atLeast"/>
        <w:rPr>
          <w:rFonts w:ascii="仿宋" w:eastAsia="仿宋" w:hAnsi="仿宋" w:cs="仿宋"/>
          <w:color w:val="666666"/>
          <w:sz w:val="28"/>
          <w:szCs w:val="28"/>
          <w:shd w:val="clear" w:color="auto" w:fill="FFFFFF"/>
        </w:rPr>
      </w:pPr>
      <w:r>
        <w:rPr>
          <w:rFonts w:ascii="仿宋" w:eastAsia="仿宋" w:hAnsi="仿宋" w:cs="仿宋" w:hint="eastAsia"/>
          <w:color w:val="666666"/>
          <w:sz w:val="28"/>
          <w:szCs w:val="28"/>
          <w:shd w:val="clear" w:color="auto" w:fill="FFFFFF"/>
        </w:rPr>
        <w:t>中国证监会网址：</w:t>
      </w:r>
      <w:hyperlink r:id="rId8" w:tgtFrame="_blank" w:history="1">
        <w:r>
          <w:rPr>
            <w:rStyle w:val="af0"/>
            <w:rFonts w:ascii="仿宋" w:eastAsia="仿宋" w:hAnsi="仿宋" w:cs="仿宋" w:hint="eastAsia"/>
            <w:color w:val="666666"/>
            <w:sz w:val="28"/>
            <w:szCs w:val="28"/>
            <w:u w:val="none"/>
            <w:shd w:val="clear" w:color="auto" w:fill="FFFFFF"/>
          </w:rPr>
          <w:t>http://www.csrc.gov.cn</w:t>
        </w:r>
      </w:hyperlink>
    </w:p>
    <w:p w:rsidR="003475CB" w:rsidRDefault="001604FF">
      <w:pPr>
        <w:pStyle w:val="ab"/>
        <w:shd w:val="clear" w:color="auto" w:fill="FFFFFF"/>
        <w:spacing w:before="0" w:beforeAutospacing="0" w:after="0" w:afterAutospacing="0" w:line="360" w:lineRule="atLeast"/>
        <w:rPr>
          <w:rFonts w:ascii="仿宋" w:eastAsia="仿宋" w:hAnsi="仿宋" w:cs="仿宋"/>
          <w:color w:val="666666"/>
          <w:sz w:val="28"/>
          <w:szCs w:val="28"/>
          <w:shd w:val="clear" w:color="auto" w:fill="FFFFFF"/>
        </w:rPr>
      </w:pPr>
      <w:r>
        <w:rPr>
          <w:rFonts w:ascii="仿宋" w:eastAsia="仿宋" w:hAnsi="仿宋" w:cs="仿宋" w:hint="eastAsia"/>
          <w:color w:val="666666"/>
          <w:sz w:val="28"/>
          <w:szCs w:val="28"/>
          <w:shd w:val="clear" w:color="auto" w:fill="FFFFFF"/>
        </w:rPr>
        <w:t>中国证监会联系电话：010-66210166</w:t>
      </w:r>
    </w:p>
    <w:p w:rsidR="003475CB" w:rsidRDefault="001604FF">
      <w:pPr>
        <w:pStyle w:val="ab"/>
        <w:shd w:val="clear" w:color="auto" w:fill="FFFFFF"/>
        <w:spacing w:before="0" w:beforeAutospacing="0" w:afterLines="50" w:after="156" w:afterAutospacing="0" w:line="360" w:lineRule="atLeast"/>
        <w:rPr>
          <w:rFonts w:ascii="仿宋" w:eastAsia="仿宋" w:hAnsi="仿宋" w:cs="仿宋"/>
          <w:color w:val="666666"/>
          <w:sz w:val="28"/>
          <w:szCs w:val="28"/>
          <w:shd w:val="clear" w:color="auto" w:fill="FFFFFF"/>
        </w:rPr>
      </w:pPr>
      <w:r>
        <w:rPr>
          <w:rFonts w:ascii="仿宋" w:eastAsia="仿宋" w:hAnsi="仿宋" w:cs="仿宋" w:hint="eastAsia"/>
          <w:color w:val="666666"/>
          <w:sz w:val="28"/>
          <w:szCs w:val="28"/>
          <w:shd w:val="clear" w:color="auto" w:fill="FFFFFF"/>
        </w:rPr>
        <w:t>中国证监会投诉咨询热线：12386</w:t>
      </w:r>
    </w:p>
    <w:p w:rsidR="003475CB" w:rsidRDefault="001604FF">
      <w:pPr>
        <w:pStyle w:val="ab"/>
        <w:shd w:val="clear" w:color="auto" w:fill="FFFFFF"/>
        <w:spacing w:before="0" w:beforeAutospacing="0" w:after="0" w:afterAutospacing="0" w:line="360" w:lineRule="atLeast"/>
        <w:rPr>
          <w:rFonts w:ascii="仿宋" w:eastAsia="仿宋" w:hAnsi="仿宋" w:cs="仿宋"/>
          <w:color w:val="666666"/>
          <w:sz w:val="28"/>
          <w:szCs w:val="28"/>
          <w:shd w:val="clear" w:color="auto" w:fill="FFFFFF"/>
        </w:rPr>
      </w:pPr>
      <w:r>
        <w:rPr>
          <w:rFonts w:ascii="仿宋" w:eastAsia="仿宋" w:hAnsi="仿宋" w:cs="仿宋" w:hint="eastAsia"/>
          <w:color w:val="666666"/>
          <w:sz w:val="28"/>
          <w:szCs w:val="28"/>
          <w:shd w:val="clear" w:color="auto" w:fill="FFFFFF"/>
        </w:rPr>
        <w:t>中国证券业协会网址：</w:t>
      </w:r>
      <w:hyperlink r:id="rId9" w:tgtFrame="_blank" w:history="1">
        <w:r>
          <w:rPr>
            <w:rStyle w:val="af0"/>
            <w:rFonts w:ascii="仿宋" w:eastAsia="仿宋" w:hAnsi="仿宋" w:cs="仿宋" w:hint="eastAsia"/>
            <w:color w:val="666666"/>
            <w:sz w:val="28"/>
            <w:szCs w:val="28"/>
            <w:u w:val="none"/>
            <w:shd w:val="clear" w:color="auto" w:fill="FFFFFF"/>
          </w:rPr>
          <w:t>http://www.sac.net.cn</w:t>
        </w:r>
      </w:hyperlink>
    </w:p>
    <w:p w:rsidR="003475CB" w:rsidRDefault="001604FF">
      <w:pPr>
        <w:pStyle w:val="ab"/>
        <w:shd w:val="clear" w:color="auto" w:fill="FFFFFF"/>
        <w:spacing w:before="0" w:beforeAutospacing="0" w:afterLines="50" w:after="156" w:afterAutospacing="0" w:line="360" w:lineRule="atLeast"/>
        <w:rPr>
          <w:rFonts w:ascii="仿宋" w:eastAsia="仿宋" w:hAnsi="仿宋" w:cs="仿宋"/>
          <w:color w:val="666666"/>
          <w:sz w:val="28"/>
          <w:szCs w:val="28"/>
          <w:shd w:val="clear" w:color="auto" w:fill="FFFFFF"/>
        </w:rPr>
      </w:pPr>
      <w:r>
        <w:rPr>
          <w:rFonts w:ascii="仿宋" w:eastAsia="仿宋" w:hAnsi="仿宋" w:cs="仿宋" w:hint="eastAsia"/>
          <w:color w:val="666666"/>
          <w:sz w:val="28"/>
          <w:szCs w:val="28"/>
          <w:shd w:val="clear" w:color="auto" w:fill="FFFFFF"/>
        </w:rPr>
        <w:t>中国证券业协会联系电话：010-66575825</w:t>
      </w:r>
    </w:p>
    <w:p w:rsidR="003475CB" w:rsidRDefault="001604FF">
      <w:pPr>
        <w:pStyle w:val="ab"/>
        <w:shd w:val="clear" w:color="auto" w:fill="FFFFFF"/>
        <w:spacing w:before="0" w:beforeAutospacing="0" w:after="0" w:afterAutospacing="0" w:line="360" w:lineRule="atLeast"/>
        <w:rPr>
          <w:rFonts w:ascii="仿宋" w:eastAsia="仿宋" w:hAnsi="仿宋" w:cs="仿宋"/>
          <w:color w:val="666666"/>
          <w:sz w:val="28"/>
          <w:szCs w:val="28"/>
          <w:shd w:val="clear" w:color="auto" w:fill="FFFFFF"/>
        </w:rPr>
      </w:pPr>
      <w:r>
        <w:rPr>
          <w:rFonts w:ascii="仿宋" w:eastAsia="仿宋" w:hAnsi="仿宋" w:cs="仿宋" w:hint="eastAsia"/>
          <w:color w:val="666666"/>
          <w:sz w:val="28"/>
          <w:szCs w:val="28"/>
          <w:shd w:val="clear" w:color="auto" w:fill="FFFFFF"/>
        </w:rPr>
        <w:t>深圳证监局网址：</w:t>
      </w:r>
      <w:hyperlink r:id="rId10" w:tgtFrame="_blank" w:history="1">
        <w:r>
          <w:rPr>
            <w:rStyle w:val="af0"/>
            <w:rFonts w:ascii="仿宋" w:eastAsia="仿宋" w:hAnsi="仿宋" w:cs="仿宋" w:hint="eastAsia"/>
            <w:color w:val="666666"/>
            <w:sz w:val="28"/>
            <w:szCs w:val="28"/>
            <w:u w:val="none"/>
            <w:shd w:val="clear" w:color="auto" w:fill="FFFFFF"/>
          </w:rPr>
          <w:t>http://www.csrc.gov.cn/pub/shenzhen/</w:t>
        </w:r>
      </w:hyperlink>
    </w:p>
    <w:p w:rsidR="003475CB" w:rsidRDefault="001604FF">
      <w:pPr>
        <w:pStyle w:val="ab"/>
        <w:shd w:val="clear" w:color="auto" w:fill="FFFFFF"/>
        <w:spacing w:before="0" w:beforeAutospacing="0" w:afterLines="50" w:after="156" w:afterAutospacing="0" w:line="360" w:lineRule="atLeast"/>
        <w:rPr>
          <w:rFonts w:ascii="仿宋" w:eastAsia="仿宋" w:hAnsi="仿宋" w:cs="仿宋"/>
          <w:color w:val="666666"/>
          <w:sz w:val="28"/>
          <w:szCs w:val="28"/>
          <w:shd w:val="clear" w:color="auto" w:fill="FFFFFF"/>
        </w:rPr>
      </w:pPr>
      <w:r>
        <w:rPr>
          <w:rFonts w:ascii="仿宋" w:eastAsia="仿宋" w:hAnsi="仿宋" w:cs="仿宋" w:hint="eastAsia"/>
          <w:color w:val="666666"/>
          <w:sz w:val="28"/>
          <w:szCs w:val="28"/>
          <w:shd w:val="clear" w:color="auto" w:fill="FFFFFF"/>
        </w:rPr>
        <w:t>深圳证监局联系电话：0755-83263315</w:t>
      </w:r>
    </w:p>
    <w:p w:rsidR="003475CB" w:rsidRDefault="001604FF">
      <w:pPr>
        <w:pStyle w:val="ab"/>
        <w:shd w:val="clear" w:color="auto" w:fill="FFFFFF"/>
        <w:spacing w:before="0" w:beforeAutospacing="0" w:after="0" w:afterAutospacing="0" w:line="360" w:lineRule="atLeast"/>
        <w:rPr>
          <w:rFonts w:ascii="仿宋" w:eastAsia="仿宋" w:hAnsi="仿宋" w:cs="仿宋"/>
          <w:color w:val="666666"/>
          <w:sz w:val="28"/>
          <w:szCs w:val="28"/>
          <w:shd w:val="clear" w:color="auto" w:fill="FFFFFF"/>
        </w:rPr>
      </w:pPr>
      <w:r>
        <w:rPr>
          <w:rFonts w:ascii="仿宋" w:eastAsia="仿宋" w:hAnsi="仿宋" w:cs="仿宋" w:hint="eastAsia"/>
          <w:color w:val="666666"/>
          <w:sz w:val="28"/>
          <w:szCs w:val="28"/>
          <w:shd w:val="clear" w:color="auto" w:fill="FFFFFF"/>
        </w:rPr>
        <w:t>深圳证券期货业纠纷调解中心网址：</w:t>
      </w:r>
      <w:hyperlink r:id="rId11" w:history="1">
        <w:r>
          <w:rPr>
            <w:rFonts w:ascii="仿宋" w:eastAsia="仿宋" w:hAnsi="仿宋" w:cs="仿宋" w:hint="eastAsia"/>
            <w:color w:val="666666"/>
            <w:sz w:val="28"/>
            <w:szCs w:val="28"/>
            <w:shd w:val="clear" w:color="auto" w:fill="FFFFFF"/>
          </w:rPr>
          <w:t>http://www.sfdrc.cn/</w:t>
        </w:r>
      </w:hyperlink>
    </w:p>
    <w:p w:rsidR="003475CB" w:rsidRDefault="001604FF">
      <w:pPr>
        <w:pStyle w:val="ab"/>
        <w:shd w:val="clear" w:color="auto" w:fill="FFFFFF"/>
        <w:spacing w:before="0" w:beforeAutospacing="0" w:afterLines="50" w:after="156" w:afterAutospacing="0" w:line="360" w:lineRule="atLeast"/>
        <w:rPr>
          <w:rFonts w:ascii="仿宋" w:eastAsia="仿宋" w:hAnsi="仿宋" w:cs="仿宋"/>
          <w:color w:val="666666"/>
          <w:sz w:val="28"/>
          <w:szCs w:val="28"/>
          <w:shd w:val="clear" w:color="auto" w:fill="FFFFFF"/>
        </w:rPr>
      </w:pPr>
      <w:r>
        <w:rPr>
          <w:rFonts w:ascii="仿宋" w:eastAsia="仿宋" w:hAnsi="仿宋" w:cs="仿宋" w:hint="eastAsia"/>
          <w:color w:val="666666"/>
          <w:sz w:val="28"/>
          <w:szCs w:val="28"/>
          <w:shd w:val="clear" w:color="auto" w:fill="FFFFFF"/>
        </w:rPr>
        <w:t xml:space="preserve">深圳证券期货业纠纷调解中心联系电话：0755-25918321 </w:t>
      </w:r>
    </w:p>
    <w:p w:rsidR="003475CB" w:rsidRDefault="001604FF">
      <w:pPr>
        <w:ind w:firstLine="420"/>
        <w:rPr>
          <w:rFonts w:ascii="仿宋" w:eastAsia="仿宋" w:hAnsi="仿宋"/>
          <w:sz w:val="28"/>
        </w:rPr>
      </w:pPr>
      <w:r>
        <w:rPr>
          <w:rFonts w:ascii="仿宋" w:eastAsia="仿宋" w:hAnsi="仿宋" w:hint="eastAsia"/>
          <w:sz w:val="28"/>
        </w:rPr>
        <w:t>（三）因基金合同而产生的或与基金合同有关的一切争议，如经协商或调解不能解决的，基金投资人可提交《基金合同》约定的仲裁机构根据当时有效的仲裁规则进行仲裁。仲裁地点为基金合同约定的</w:t>
      </w:r>
      <w:r>
        <w:rPr>
          <w:rFonts w:ascii="仿宋" w:eastAsia="仿宋" w:hAnsi="仿宋" w:hint="eastAsia"/>
          <w:sz w:val="28"/>
        </w:rPr>
        <w:lastRenderedPageBreak/>
        <w:t>地点。仲裁裁决是终局的，对各方当事人均有约束力。</w:t>
      </w:r>
    </w:p>
    <w:p w:rsidR="003475CB" w:rsidRDefault="001604FF">
      <w:pPr>
        <w:ind w:firstLineChars="200" w:firstLine="560"/>
        <w:rPr>
          <w:rFonts w:ascii="仿宋" w:eastAsia="仿宋" w:hAnsi="仿宋"/>
          <w:sz w:val="28"/>
        </w:rPr>
      </w:pPr>
      <w:r>
        <w:rPr>
          <w:rFonts w:ascii="仿宋" w:eastAsia="仿宋" w:hAnsi="仿宋" w:hint="eastAsia"/>
          <w:sz w:val="28"/>
        </w:rPr>
        <w:t>投资有风险。投资者在投资基金前应认真阅读《基金合同》、《招募说明书》《基金产品资料概要》等基金法律文件，选择与自身风险承受能力相适应的基金。作为基金管理人，本公司承诺投资人利益优先，以诚实信用、勤勉尽责的态度为投资人提供服务，但不能保证基金一定盈利，也不能保证基金的最低收益。投资人可登录中国证券监督管理委员会网站（</w:t>
      </w:r>
      <w:r>
        <w:rPr>
          <w:rFonts w:ascii="仿宋" w:eastAsia="仿宋" w:hAnsi="仿宋"/>
          <w:sz w:val="28"/>
        </w:rPr>
        <w:t>www.csrc.gov.cn</w:t>
      </w:r>
      <w:r>
        <w:rPr>
          <w:rFonts w:ascii="仿宋" w:eastAsia="仿宋" w:hAnsi="仿宋" w:hint="eastAsia"/>
          <w:sz w:val="28"/>
        </w:rPr>
        <w:t>）查询基金销售机构名录，核实本公司基金销售资格。</w:t>
      </w:r>
    </w:p>
    <w:p w:rsidR="003475CB" w:rsidRDefault="003475CB">
      <w:pPr>
        <w:rPr>
          <w:rFonts w:ascii="仿宋" w:eastAsia="仿宋" w:hAnsi="仿宋"/>
          <w:sz w:val="28"/>
        </w:rPr>
      </w:pPr>
    </w:p>
    <w:p w:rsidR="003475CB" w:rsidRDefault="003475CB">
      <w:pPr>
        <w:rPr>
          <w:rFonts w:ascii="仿宋" w:eastAsia="仿宋" w:hAnsi="仿宋"/>
          <w:sz w:val="28"/>
        </w:rPr>
      </w:pPr>
    </w:p>
    <w:p w:rsidR="003475CB" w:rsidRDefault="001604FF">
      <w:pPr>
        <w:rPr>
          <w:rFonts w:ascii="等线" w:eastAsia="等线" w:hAnsi="等线" w:cs="等线"/>
          <w:b/>
          <w:bCs/>
          <w:color w:val="FF0000"/>
          <w:sz w:val="28"/>
        </w:rPr>
      </w:pPr>
      <w:r>
        <w:rPr>
          <w:rFonts w:ascii="等线" w:eastAsia="等线" w:hAnsi="等线" w:cs="等线" w:hint="eastAsia"/>
          <w:color w:val="FF0000"/>
          <w:sz w:val="28"/>
        </w:rPr>
        <w:t xml:space="preserve">★ </w:t>
      </w:r>
      <w:r>
        <w:rPr>
          <w:rFonts w:ascii="等线" w:eastAsia="等线" w:hAnsi="等线" w:cs="等线" w:hint="eastAsia"/>
          <w:b/>
          <w:bCs/>
          <w:color w:val="FF0000"/>
          <w:sz w:val="28"/>
        </w:rPr>
        <w:t>投资人声明</w:t>
      </w:r>
    </w:p>
    <w:p w:rsidR="003475CB" w:rsidRDefault="001604FF">
      <w:pPr>
        <w:ind w:firstLine="420"/>
        <w:rPr>
          <w:rFonts w:ascii="等线" w:eastAsia="等线" w:hAnsi="等线" w:cs="等线"/>
          <w:sz w:val="28"/>
        </w:rPr>
      </w:pPr>
      <w:r>
        <w:rPr>
          <w:rFonts w:ascii="等线" w:eastAsia="等线" w:hAnsi="等线" w:cs="等线" w:hint="eastAsia"/>
          <w:sz w:val="28"/>
        </w:rPr>
        <w:t>本投资人已经仔细阅读上述内容，承诺严格按照</w:t>
      </w:r>
      <w:r>
        <w:rPr>
          <w:rFonts w:ascii="等线" w:eastAsia="等线" w:hAnsi="等线" w:cs="等线" w:hint="eastAsia"/>
          <w:sz w:val="28"/>
          <w:szCs w:val="28"/>
        </w:rPr>
        <w:t>合煦智远</w:t>
      </w:r>
      <w:r>
        <w:rPr>
          <w:rFonts w:ascii="等线" w:eastAsia="等线" w:hAnsi="等线" w:cs="等线" w:hint="eastAsia"/>
          <w:sz w:val="28"/>
        </w:rPr>
        <w:t>基金管理有限公司业务流程办理相关交易，并自愿承担投资风险。</w:t>
      </w:r>
    </w:p>
    <w:p w:rsidR="003475CB" w:rsidRDefault="003475CB">
      <w:pPr>
        <w:rPr>
          <w:rFonts w:ascii="仿宋" w:eastAsia="仿宋" w:hAnsi="仿宋"/>
        </w:rPr>
      </w:pPr>
    </w:p>
    <w:p w:rsidR="003475CB" w:rsidRDefault="003475CB">
      <w:pPr>
        <w:rPr>
          <w:rFonts w:ascii="仿宋" w:eastAsia="仿宋" w:hAnsi="仿宋"/>
        </w:rPr>
      </w:pPr>
    </w:p>
    <w:p w:rsidR="003475CB" w:rsidRDefault="003475CB">
      <w:pPr>
        <w:rPr>
          <w:rFonts w:ascii="仿宋" w:eastAsia="仿宋" w:hAnsi="仿宋"/>
        </w:rPr>
      </w:pPr>
    </w:p>
    <w:p w:rsidR="003475CB" w:rsidRDefault="003475CB">
      <w:pPr>
        <w:rPr>
          <w:rFonts w:ascii="仿宋" w:eastAsia="仿宋" w:hAnsi="仿宋"/>
        </w:rPr>
      </w:pPr>
    </w:p>
    <w:p w:rsidR="003475CB" w:rsidRDefault="003475CB">
      <w:pPr>
        <w:rPr>
          <w:rFonts w:ascii="仿宋" w:eastAsia="仿宋" w:hAnsi="仿宋"/>
        </w:rPr>
      </w:pPr>
    </w:p>
    <w:p w:rsidR="003475CB" w:rsidRDefault="001604FF">
      <w:pPr>
        <w:jc w:val="center"/>
        <w:rPr>
          <w:rFonts w:ascii="等线" w:eastAsia="等线" w:hAnsi="等线" w:cs="等线"/>
          <w:sz w:val="28"/>
        </w:rPr>
      </w:pPr>
      <w:r>
        <w:rPr>
          <w:rFonts w:ascii="仿宋" w:eastAsia="仿宋" w:hAnsi="仿宋" w:hint="eastAsia"/>
          <w:sz w:val="28"/>
        </w:rPr>
        <w:t xml:space="preserve">   </w:t>
      </w:r>
      <w:r>
        <w:rPr>
          <w:rFonts w:ascii="仿宋" w:eastAsia="仿宋" w:hAnsi="仿宋" w:hint="eastAsia"/>
          <w:b/>
          <w:bCs/>
          <w:sz w:val="28"/>
        </w:rPr>
        <w:t xml:space="preserve">               </w:t>
      </w:r>
      <w:r>
        <w:rPr>
          <w:rFonts w:ascii="等线" w:eastAsia="等线" w:hAnsi="等线" w:cs="等线" w:hint="eastAsia"/>
          <w:b/>
          <w:bCs/>
          <w:sz w:val="28"/>
        </w:rPr>
        <w:t xml:space="preserve"> 自然人签字：</w:t>
      </w:r>
    </w:p>
    <w:p w:rsidR="003475CB" w:rsidRDefault="003475CB">
      <w:pPr>
        <w:ind w:firstLineChars="400" w:firstLine="1120"/>
        <w:jc w:val="center"/>
        <w:rPr>
          <w:rFonts w:ascii="等线" w:eastAsia="等线" w:hAnsi="等线" w:cs="等线"/>
          <w:sz w:val="28"/>
        </w:rPr>
      </w:pPr>
    </w:p>
    <w:p w:rsidR="003475CB" w:rsidRDefault="001604FF">
      <w:pPr>
        <w:ind w:firstLineChars="1400" w:firstLine="3920"/>
        <w:jc w:val="center"/>
        <w:rPr>
          <w:rFonts w:ascii="等线" w:eastAsia="等线" w:hAnsi="等线" w:cs="等线"/>
          <w:b/>
          <w:bCs/>
          <w:sz w:val="28"/>
        </w:rPr>
      </w:pPr>
      <w:r>
        <w:rPr>
          <w:rFonts w:ascii="等线" w:eastAsia="等线" w:hAnsi="等线" w:cs="等线" w:hint="eastAsia"/>
          <w:b/>
          <w:bCs/>
          <w:sz w:val="28"/>
        </w:rPr>
        <w:t>机构授权经办人签字：</w:t>
      </w:r>
    </w:p>
    <w:p w:rsidR="003475CB" w:rsidRDefault="001604FF">
      <w:pPr>
        <w:jc w:val="center"/>
        <w:rPr>
          <w:rFonts w:ascii="等线" w:eastAsia="等线" w:hAnsi="等线" w:cs="等线"/>
          <w:sz w:val="28"/>
        </w:rPr>
      </w:pPr>
      <w:r>
        <w:rPr>
          <w:rFonts w:ascii="等线" w:eastAsia="等线" w:hAnsi="等线" w:cs="等线" w:hint="eastAsia"/>
          <w:sz w:val="28"/>
        </w:rPr>
        <w:t xml:space="preserve">                           （盖公章、法人章、骑缝章）         </w:t>
      </w:r>
    </w:p>
    <w:p w:rsidR="003475CB" w:rsidRDefault="003475CB">
      <w:pPr>
        <w:jc w:val="right"/>
        <w:rPr>
          <w:rFonts w:ascii="等线" w:eastAsia="等线" w:hAnsi="等线" w:cs="等线"/>
          <w:sz w:val="28"/>
        </w:rPr>
      </w:pPr>
    </w:p>
    <w:p w:rsidR="003475CB" w:rsidRDefault="001604FF">
      <w:pPr>
        <w:ind w:rightChars="-444" w:right="-932" w:firstLineChars="200" w:firstLine="560"/>
        <w:jc w:val="right"/>
        <w:rPr>
          <w:rFonts w:ascii="仿宋" w:eastAsia="仿宋" w:hAnsi="仿宋"/>
          <w:sz w:val="28"/>
        </w:rPr>
      </w:pPr>
      <w:r>
        <w:rPr>
          <w:rFonts w:ascii="等线" w:eastAsia="等线" w:hAnsi="等线" w:cs="等线" w:hint="eastAsia"/>
          <w:sz w:val="28"/>
        </w:rPr>
        <w:t xml:space="preserve">                        </w:t>
      </w:r>
      <w:r>
        <w:rPr>
          <w:rFonts w:ascii="等线" w:eastAsia="等线" w:hAnsi="等线" w:cs="等线" w:hint="eastAsia"/>
          <w:b/>
          <w:bCs/>
          <w:sz w:val="28"/>
        </w:rPr>
        <w:t xml:space="preserve">            年   月   日</w:t>
      </w:r>
      <w:r>
        <w:rPr>
          <w:rFonts w:ascii="仿宋" w:eastAsia="仿宋" w:hAnsi="仿宋" w:hint="eastAsia"/>
          <w:b/>
          <w:bCs/>
          <w:sz w:val="28"/>
        </w:rPr>
        <w:t xml:space="preserve"> </w:t>
      </w:r>
    </w:p>
    <w:p w:rsidR="003475CB" w:rsidRDefault="003475CB">
      <w:pPr>
        <w:jc w:val="right"/>
        <w:rPr>
          <w:rFonts w:ascii="仿宋" w:eastAsia="仿宋" w:hAnsi="仿宋"/>
          <w:sz w:val="28"/>
        </w:rPr>
      </w:pPr>
    </w:p>
    <w:sectPr w:rsidR="003475CB">
      <w:headerReference w:type="default" r:id="rId1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2CEB" w:rsidRDefault="001604FF">
      <w:r>
        <w:separator/>
      </w:r>
    </w:p>
  </w:endnote>
  <w:endnote w:type="continuationSeparator" w:id="0">
    <w:p w:rsidR="00F92CEB" w:rsidRDefault="00160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256555"/>
    </w:sdtPr>
    <w:sdtEndPr/>
    <w:sdtContent>
      <w:p w:rsidR="003475CB" w:rsidRDefault="001604FF">
        <w:pPr>
          <w:pStyle w:val="a7"/>
          <w:jc w:val="center"/>
        </w:pPr>
        <w:r>
          <w:fldChar w:fldCharType="begin"/>
        </w:r>
        <w:r>
          <w:instrText xml:space="preserve"> PAGE   \* MERGEFORMAT </w:instrText>
        </w:r>
        <w:r>
          <w:fldChar w:fldCharType="separate"/>
        </w:r>
        <w:r w:rsidR="00653369" w:rsidRPr="00653369">
          <w:rPr>
            <w:noProof/>
            <w:lang w:val="zh-CN"/>
          </w:rPr>
          <w:t>2</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2CEB" w:rsidRDefault="001604FF">
      <w:r>
        <w:separator/>
      </w:r>
    </w:p>
  </w:footnote>
  <w:footnote w:type="continuationSeparator" w:id="0">
    <w:p w:rsidR="00F92CEB" w:rsidRDefault="001604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75CB" w:rsidRDefault="009A6040">
    <w:pPr>
      <w:pStyle w:val="a9"/>
      <w:pBdr>
        <w:bottom w:val="none" w:sz="0" w:space="1" w:color="auto"/>
      </w:pBdr>
      <w:jc w:val="right"/>
    </w:pPr>
    <w:r>
      <w:rPr>
        <w:noProof/>
      </w:rPr>
      <w:drawing>
        <wp:anchor distT="0" distB="0" distL="114300" distR="114300" simplePos="0" relativeHeight="251659776" behindDoc="0" locked="0" layoutInCell="1" allowOverlap="1" wp14:anchorId="6DDEC83F" wp14:editId="16B51066">
          <wp:simplePos x="0" y="0"/>
          <wp:positionH relativeFrom="column">
            <wp:posOffset>-952500</wp:posOffset>
          </wp:positionH>
          <wp:positionV relativeFrom="paragraph">
            <wp:posOffset>-464185</wp:posOffset>
          </wp:positionV>
          <wp:extent cx="2625881" cy="6223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58818" cy="63010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9923802"/>
    <w:multiLevelType w:val="singleLevel"/>
    <w:tmpl w:val="D9923802"/>
    <w:lvl w:ilvl="0">
      <w:start w:val="1"/>
      <w:numFmt w:val="chineseCounting"/>
      <w:suff w:val="nothing"/>
      <w:lvlText w:val="（%1）"/>
      <w:lvlJc w:val="left"/>
      <w:rPr>
        <w:rFonts w:hint="eastAsia"/>
      </w:rPr>
    </w:lvl>
  </w:abstractNum>
  <w:abstractNum w:abstractNumId="1" w15:restartNumberingAfterBreak="0">
    <w:nsid w:val="0CE30249"/>
    <w:multiLevelType w:val="multilevel"/>
    <w:tmpl w:val="0CE30249"/>
    <w:lvl w:ilvl="0">
      <w:start w:val="1"/>
      <w:numFmt w:val="decimal"/>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6B9A4090"/>
    <w:multiLevelType w:val="multilevel"/>
    <w:tmpl w:val="6B9A4090"/>
    <w:lvl w:ilvl="0">
      <w:start w:val="1"/>
      <w:numFmt w:val="japaneseCounting"/>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6F8C1B02"/>
    <w:multiLevelType w:val="multilevel"/>
    <w:tmpl w:val="6F8C1B02"/>
    <w:lvl w:ilvl="0">
      <w:start w:val="1"/>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docVars>
    <w:docVar w:name="commondata" w:val="eyJoZGlkIjoiODMzZTdlYjk0NDk4MzI0YWFlZWJmYWFkOGU5N2E0NTAifQ=="/>
  </w:docVars>
  <w:rsids>
    <w:rsidRoot w:val="00FB3472"/>
    <w:rsid w:val="000B44BD"/>
    <w:rsid w:val="00135993"/>
    <w:rsid w:val="001604FF"/>
    <w:rsid w:val="00166657"/>
    <w:rsid w:val="00166BBA"/>
    <w:rsid w:val="00167594"/>
    <w:rsid w:val="00197BF3"/>
    <w:rsid w:val="001B1AD8"/>
    <w:rsid w:val="001C02DA"/>
    <w:rsid w:val="0022013B"/>
    <w:rsid w:val="002961F1"/>
    <w:rsid w:val="002974C8"/>
    <w:rsid w:val="002F5318"/>
    <w:rsid w:val="0033559B"/>
    <w:rsid w:val="003475CB"/>
    <w:rsid w:val="003618FE"/>
    <w:rsid w:val="00372F04"/>
    <w:rsid w:val="004323EA"/>
    <w:rsid w:val="004855AA"/>
    <w:rsid w:val="00494091"/>
    <w:rsid w:val="004D613C"/>
    <w:rsid w:val="004E6456"/>
    <w:rsid w:val="00554E27"/>
    <w:rsid w:val="00576664"/>
    <w:rsid w:val="00591BFF"/>
    <w:rsid w:val="005E54C1"/>
    <w:rsid w:val="00650BFB"/>
    <w:rsid w:val="00653369"/>
    <w:rsid w:val="00685647"/>
    <w:rsid w:val="006D58A9"/>
    <w:rsid w:val="00705143"/>
    <w:rsid w:val="007511CE"/>
    <w:rsid w:val="0077737A"/>
    <w:rsid w:val="0079674C"/>
    <w:rsid w:val="007A6BEB"/>
    <w:rsid w:val="007E026B"/>
    <w:rsid w:val="007E6FA6"/>
    <w:rsid w:val="008025BB"/>
    <w:rsid w:val="00814985"/>
    <w:rsid w:val="00817A79"/>
    <w:rsid w:val="00842EDB"/>
    <w:rsid w:val="00854DB7"/>
    <w:rsid w:val="0085662F"/>
    <w:rsid w:val="008A70ED"/>
    <w:rsid w:val="00981CF5"/>
    <w:rsid w:val="009A0638"/>
    <w:rsid w:val="009A6040"/>
    <w:rsid w:val="009B3258"/>
    <w:rsid w:val="009E1C5C"/>
    <w:rsid w:val="00A83CDA"/>
    <w:rsid w:val="00AC3195"/>
    <w:rsid w:val="00AC77CF"/>
    <w:rsid w:val="00B27F1F"/>
    <w:rsid w:val="00B463A4"/>
    <w:rsid w:val="00C04865"/>
    <w:rsid w:val="00C33595"/>
    <w:rsid w:val="00C423C6"/>
    <w:rsid w:val="00C86DFA"/>
    <w:rsid w:val="00CA2894"/>
    <w:rsid w:val="00CE590F"/>
    <w:rsid w:val="00D13532"/>
    <w:rsid w:val="00D30447"/>
    <w:rsid w:val="00D426D3"/>
    <w:rsid w:val="00DA20EE"/>
    <w:rsid w:val="00DD3831"/>
    <w:rsid w:val="00DF6346"/>
    <w:rsid w:val="00E16CD1"/>
    <w:rsid w:val="00E8273D"/>
    <w:rsid w:val="00E905DF"/>
    <w:rsid w:val="00E9496E"/>
    <w:rsid w:val="00E95EC2"/>
    <w:rsid w:val="00EA5BFE"/>
    <w:rsid w:val="00F02486"/>
    <w:rsid w:val="00F53D48"/>
    <w:rsid w:val="00F92CEB"/>
    <w:rsid w:val="00F93896"/>
    <w:rsid w:val="00FB3472"/>
    <w:rsid w:val="02D7069C"/>
    <w:rsid w:val="06B4635A"/>
    <w:rsid w:val="0AE56D8F"/>
    <w:rsid w:val="0FC1695C"/>
    <w:rsid w:val="11DB3977"/>
    <w:rsid w:val="11F867BB"/>
    <w:rsid w:val="16AE32C1"/>
    <w:rsid w:val="26A735C3"/>
    <w:rsid w:val="277128CB"/>
    <w:rsid w:val="28183D31"/>
    <w:rsid w:val="287D7ED0"/>
    <w:rsid w:val="2C8A0D23"/>
    <w:rsid w:val="2E2005D9"/>
    <w:rsid w:val="30CB07BF"/>
    <w:rsid w:val="34FA70A0"/>
    <w:rsid w:val="362B12E1"/>
    <w:rsid w:val="37CC3241"/>
    <w:rsid w:val="3A6475E6"/>
    <w:rsid w:val="3F701382"/>
    <w:rsid w:val="440C57D7"/>
    <w:rsid w:val="478A7058"/>
    <w:rsid w:val="48FF56C1"/>
    <w:rsid w:val="507C0EB3"/>
    <w:rsid w:val="52607531"/>
    <w:rsid w:val="547D1CF3"/>
    <w:rsid w:val="577C44E3"/>
    <w:rsid w:val="5CC86137"/>
    <w:rsid w:val="620F48D2"/>
    <w:rsid w:val="633B43EF"/>
    <w:rsid w:val="693E6DA4"/>
    <w:rsid w:val="732B71B1"/>
    <w:rsid w:val="746E1B45"/>
    <w:rsid w:val="79B15AD6"/>
    <w:rsid w:val="7F2A1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fillcolor="white">
      <v:fill color="white"/>
    </o:shapedefaults>
    <o:shapelayout v:ext="edit">
      <o:idmap v:ext="edit" data="1"/>
    </o:shapelayout>
  </w:shapeDefaults>
  <w:decimalSymbol w:val="."/>
  <w:listSeparator w:val=","/>
  <w14:docId w14:val="1D25DCDE"/>
  <w15:docId w15:val="{E4C3A763-0C83-4E47-8736-6E5D22F16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table" w:styleId="ae">
    <w:name w:val="Table Grid"/>
    <w:basedOn w:val="a1"/>
    <w:qFormat/>
    <w:pPr>
      <w:widowControl w:val="0"/>
      <w:jc w:val="both"/>
    </w:pPr>
    <w:rPr>
      <w:rFonts w:eastAsia="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uiPriority w:val="99"/>
    <w:semiHidden/>
    <w:unhideWhenUsed/>
    <w:qFormat/>
    <w:rPr>
      <w:color w:val="954F72"/>
      <w:u w:val="single"/>
    </w:rPr>
  </w:style>
  <w:style w:type="character" w:styleId="af0">
    <w:name w:val="Hyperlink"/>
    <w:basedOn w:val="a0"/>
    <w:uiPriority w:val="99"/>
    <w:semiHidden/>
    <w:unhideWhenUsed/>
    <w:qFormat/>
    <w:rPr>
      <w:color w:val="0563C1"/>
      <w:u w:val="single"/>
    </w:rPr>
  </w:style>
  <w:style w:type="character" w:styleId="af1">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6">
    <w:name w:val="批注框文本 字符"/>
    <w:basedOn w:val="a0"/>
    <w:link w:val="a5"/>
    <w:uiPriority w:val="99"/>
    <w:semiHidden/>
    <w:qFormat/>
    <w:rPr>
      <w:sz w:val="18"/>
      <w:szCs w:val="18"/>
    </w:rPr>
  </w:style>
  <w:style w:type="paragraph" w:styleId="af2">
    <w:name w:val="List Paragraph"/>
    <w:basedOn w:val="a"/>
    <w:uiPriority w:val="34"/>
    <w:qFormat/>
    <w:pPr>
      <w:ind w:firstLineChars="200" w:firstLine="420"/>
    </w:pPr>
  </w:style>
  <w:style w:type="character" w:customStyle="1" w:styleId="a4">
    <w:name w:val="批注文字 字符"/>
    <w:basedOn w:val="a0"/>
    <w:link w:val="a3"/>
    <w:uiPriority w:val="99"/>
    <w:semiHidden/>
    <w:qFormat/>
  </w:style>
  <w:style w:type="character" w:customStyle="1" w:styleId="ad">
    <w:name w:val="批注主题 字符"/>
    <w:basedOn w:val="a4"/>
    <w:link w:val="ac"/>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csrc.gov.c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fdrc.c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src.gov.cn/pub/shenzhen/" TargetMode="External"/><Relationship Id="rId4" Type="http://schemas.openxmlformats.org/officeDocument/2006/relationships/settings" Target="settings.xml"/><Relationship Id="rId9" Type="http://schemas.openxmlformats.org/officeDocument/2006/relationships/hyperlink" Target="http://www.sac.net.cn/"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852</Words>
  <Characters>4862</Characters>
  <Application>Microsoft Office Word</Application>
  <DocSecurity>0</DocSecurity>
  <Lines>40</Lines>
  <Paragraphs>11</Paragraphs>
  <ScaleCrop>false</ScaleCrop>
  <Company>Lenovo</Company>
  <LinksUpToDate>false</LinksUpToDate>
  <CharactersWithSpaces>5703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fandp</dc:creator>
  <cp:lastModifiedBy>霍彦均</cp:lastModifiedBy>
  <cp:revision>46</cp:revision>
  <dcterms:created xsi:type="dcterms:W3CDTF">2014-04-08T07:28:00Z</dcterms:created>
  <dcterms:modified xsi:type="dcterms:W3CDTF">2026-02-25T08:39:00Z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64FD4274040343B9B0E91F747C572599</vt:lpwstr>
  </property>
</Properties>
</file>