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0FA1" w:rsidRDefault="00891015">
      <w:pPr>
        <w:jc w:val="center"/>
        <w:rPr>
          <w:rFonts w:ascii="宋体" w:eastAsia="宋体" w:hAnsi="宋体"/>
          <w:b/>
          <w:color w:val="FF0000"/>
          <w:sz w:val="21"/>
          <w:szCs w:val="21"/>
        </w:rPr>
      </w:pPr>
      <w:r>
        <w:rPr>
          <w:rFonts w:ascii="等线" w:eastAsia="等线" w:hAnsi="等线" w:cs="等线" w:hint="eastAsia"/>
          <w:b/>
          <w:sz w:val="32"/>
          <w:szCs w:val="32"/>
        </w:rPr>
        <w:t>机构税收居民身份声明文件</w:t>
      </w:r>
    </w:p>
    <w:tbl>
      <w:tblPr>
        <w:tblW w:w="10774" w:type="dxa"/>
        <w:tblInd w:w="-11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1418"/>
        <w:gridCol w:w="5395"/>
        <w:gridCol w:w="2685"/>
      </w:tblGrid>
      <w:tr w:rsidR="00800FA1">
        <w:trPr>
          <w:trHeight w:val="416"/>
        </w:trPr>
        <w:tc>
          <w:tcPr>
            <w:tcW w:w="10774" w:type="dxa"/>
            <w:gridSpan w:val="4"/>
            <w:tcBorders>
              <w:top w:val="single" w:sz="4" w:space="0" w:color="FFFFFF"/>
              <w:left w:val="single" w:sz="4" w:space="0" w:color="FFFFFF"/>
              <w:bottom w:val="single" w:sz="4" w:space="0" w:color="auto"/>
              <w:right w:val="single" w:sz="4" w:space="0" w:color="FFFFFF"/>
            </w:tcBorders>
            <w:shd w:val="clear" w:color="000000" w:fill="auto"/>
          </w:tcPr>
          <w:p w:rsidR="00800FA1" w:rsidRDefault="00891015">
            <w:pPr>
              <w:jc w:val="left"/>
              <w:rPr>
                <w:rFonts w:ascii="宋体" w:eastAsia="宋体" w:hAnsi="宋体"/>
                <w:b/>
                <w:sz w:val="24"/>
                <w:szCs w:val="24"/>
              </w:rPr>
            </w:pPr>
            <w:r>
              <w:rPr>
                <w:rFonts w:ascii="等线" w:eastAsia="等线" w:hAnsi="等线" w:cs="等线" w:hint="eastAsia"/>
                <w:b/>
                <w:color w:val="FF0000"/>
                <w:sz w:val="28"/>
                <w:szCs w:val="28"/>
              </w:rPr>
              <w:t xml:space="preserve">* </w:t>
            </w:r>
            <w:r>
              <w:rPr>
                <w:rFonts w:ascii="等线" w:eastAsia="等线" w:hAnsi="等线" w:cs="等线" w:hint="eastAsia"/>
                <w:b/>
                <w:sz w:val="28"/>
                <w:szCs w:val="28"/>
              </w:rPr>
              <w:t xml:space="preserve">投资者名称： </w:t>
            </w:r>
          </w:p>
        </w:tc>
      </w:tr>
      <w:tr w:rsidR="00800FA1">
        <w:trPr>
          <w:trHeight w:val="360"/>
        </w:trPr>
        <w:tc>
          <w:tcPr>
            <w:tcW w:w="10774" w:type="dxa"/>
            <w:gridSpan w:val="4"/>
            <w:tcBorders>
              <w:bottom w:val="single" w:sz="4" w:space="0" w:color="auto"/>
            </w:tcBorders>
            <w:shd w:val="clear" w:color="000000" w:fill="auto"/>
          </w:tcPr>
          <w:p w:rsidR="00800FA1" w:rsidRDefault="00891015">
            <w:pPr>
              <w:spacing w:line="276" w:lineRule="auto"/>
              <w:rPr>
                <w:rFonts w:ascii="宋体" w:eastAsia="宋体" w:hAnsi="宋体"/>
                <w:b/>
                <w:sz w:val="21"/>
                <w:szCs w:val="21"/>
              </w:rPr>
            </w:pPr>
            <w:r>
              <w:rPr>
                <w:rFonts w:ascii="等线" w:eastAsia="等线" w:hAnsi="等线" w:cs="等线" w:hint="eastAsia"/>
                <w:b/>
                <w:color w:val="FF0000"/>
                <w:sz w:val="28"/>
                <w:szCs w:val="28"/>
              </w:rPr>
              <w:t xml:space="preserve">* </w:t>
            </w:r>
            <w:r>
              <w:rPr>
                <w:rFonts w:ascii="等线" w:eastAsia="等线" w:hAnsi="等线" w:cs="等线" w:hint="eastAsia"/>
                <w:b/>
                <w:sz w:val="24"/>
                <w:szCs w:val="24"/>
              </w:rPr>
              <w:t>一、机构类型：（单选）</w:t>
            </w:r>
          </w:p>
        </w:tc>
      </w:tr>
      <w:tr w:rsidR="00800FA1">
        <w:trPr>
          <w:trHeight w:val="974"/>
        </w:trPr>
        <w:tc>
          <w:tcPr>
            <w:tcW w:w="10774" w:type="dxa"/>
            <w:gridSpan w:val="4"/>
            <w:tcBorders>
              <w:top w:val="single" w:sz="4" w:space="0" w:color="auto"/>
              <w:bottom w:val="dotted" w:sz="4" w:space="0" w:color="auto"/>
            </w:tcBorders>
            <w:shd w:val="clear" w:color="000000" w:fill="auto"/>
          </w:tcPr>
          <w:p w:rsidR="00800FA1" w:rsidRDefault="00891015">
            <w:pPr>
              <w:rPr>
                <w:rFonts w:ascii="宋体" w:eastAsia="宋体" w:hAnsi="宋体"/>
                <w:sz w:val="21"/>
                <w:szCs w:val="21"/>
              </w:rPr>
            </w:pPr>
            <w:r>
              <w:rPr>
                <w:rFonts w:ascii="宋体" w:eastAsia="宋体" w:hAnsi="宋体"/>
                <w:b/>
                <w:bCs/>
                <w:sz w:val="21"/>
                <w:szCs w:val="21"/>
              </w:rPr>
              <w:sym w:font="Wingdings 2" w:char="00A3"/>
            </w:r>
            <w:r>
              <w:rPr>
                <w:rFonts w:ascii="宋体" w:eastAsia="宋体" w:hAnsi="宋体"/>
                <w:b/>
                <w:bCs/>
                <w:sz w:val="21"/>
                <w:szCs w:val="21"/>
              </w:rPr>
              <w:t xml:space="preserve"> 消极非金融机构</w:t>
            </w:r>
            <w:r>
              <w:rPr>
                <w:rFonts w:ascii="宋体" w:eastAsia="宋体" w:hAnsi="宋体" w:hint="eastAsia"/>
                <w:b/>
                <w:bCs/>
                <w:sz w:val="21"/>
                <w:szCs w:val="21"/>
              </w:rPr>
              <w:t xml:space="preserve"> </w:t>
            </w:r>
            <w:r>
              <w:rPr>
                <w:rFonts w:ascii="宋体" w:eastAsia="宋体" w:hAnsi="宋体"/>
                <w:sz w:val="21"/>
                <w:szCs w:val="21"/>
              </w:rPr>
              <w:t xml:space="preserve"> </w:t>
            </w:r>
            <w:r>
              <w:rPr>
                <w:rFonts w:ascii="宋体" w:eastAsia="宋体" w:hAnsi="宋体" w:hint="eastAsia"/>
                <w:sz w:val="18"/>
                <w:szCs w:val="18"/>
              </w:rPr>
              <w:t>（若勾选此项，请继续填写“第二项”，并填写</w:t>
            </w:r>
            <w:r>
              <w:rPr>
                <w:rFonts w:ascii="宋体" w:eastAsia="宋体" w:hAnsi="宋体" w:hint="eastAsia"/>
                <w:sz w:val="18"/>
                <w:szCs w:val="18"/>
                <w:u w:val="single"/>
              </w:rPr>
              <w:t>《控制人税收居民身份声明文件》</w:t>
            </w:r>
            <w:r>
              <w:rPr>
                <w:rFonts w:ascii="宋体" w:eastAsia="宋体" w:hAnsi="宋体" w:hint="eastAsia"/>
                <w:i/>
                <w:iCs/>
                <w:sz w:val="18"/>
                <w:szCs w:val="18"/>
                <w:u w:val="single"/>
              </w:rPr>
              <w:t>【一人一表】</w:t>
            </w:r>
            <w:r>
              <w:rPr>
                <w:rFonts w:ascii="宋体" w:eastAsia="宋体" w:hAnsi="宋体" w:hint="eastAsia"/>
                <w:sz w:val="18"/>
                <w:szCs w:val="18"/>
              </w:rPr>
              <w:t>）</w:t>
            </w:r>
          </w:p>
          <w:p w:rsidR="00800FA1" w:rsidRDefault="00891015">
            <w:pPr>
              <w:rPr>
                <w:rFonts w:ascii="宋体" w:eastAsia="宋体" w:hAnsi="宋体"/>
                <w:sz w:val="21"/>
                <w:szCs w:val="21"/>
              </w:rPr>
            </w:pPr>
            <w:r>
              <w:rPr>
                <w:rFonts w:ascii="宋体" w:eastAsia="宋体" w:hAnsi="宋体"/>
                <w:b/>
                <w:bCs/>
                <w:sz w:val="21"/>
                <w:szCs w:val="21"/>
              </w:rPr>
              <w:t>□ 其他非金融机构</w:t>
            </w:r>
            <w:r>
              <w:rPr>
                <w:rFonts w:ascii="宋体" w:eastAsia="宋体" w:hAnsi="宋体"/>
                <w:sz w:val="21"/>
                <w:szCs w:val="21"/>
              </w:rPr>
              <w:t xml:space="preserve">  </w:t>
            </w:r>
            <w:r>
              <w:rPr>
                <w:rFonts w:ascii="宋体" w:eastAsia="宋体" w:hAnsi="宋体" w:hint="eastAsia"/>
                <w:sz w:val="18"/>
                <w:szCs w:val="18"/>
              </w:rPr>
              <w:t>（若勾选此项，请继续填写“第二项、第三项、第四项”全部内容）</w:t>
            </w:r>
          </w:p>
          <w:p w:rsidR="00800FA1" w:rsidRDefault="00891015">
            <w:pPr>
              <w:rPr>
                <w:rFonts w:ascii="宋体" w:eastAsia="宋体" w:hAnsi="宋体"/>
                <w:sz w:val="21"/>
                <w:szCs w:val="21"/>
              </w:rPr>
            </w:pPr>
            <w:r>
              <w:rPr>
                <w:rFonts w:ascii="宋体" w:eastAsia="宋体" w:hAnsi="宋体"/>
                <w:b/>
                <w:bCs/>
                <w:sz w:val="21"/>
                <w:szCs w:val="21"/>
              </w:rPr>
              <w:t>□ 豁免机构</w:t>
            </w:r>
            <w:r>
              <w:rPr>
                <w:rFonts w:ascii="等线" w:eastAsia="等线" w:hAnsi="等线" w:cs="等线" w:hint="eastAsia"/>
                <w:sz w:val="21"/>
                <w:szCs w:val="21"/>
              </w:rPr>
              <w:t>（包括政府机构、国际组织、金融机构或上市公司等）</w:t>
            </w:r>
            <w:r>
              <w:rPr>
                <w:rFonts w:ascii="宋体" w:eastAsia="宋体" w:hAnsi="宋体" w:hint="eastAsia"/>
                <w:sz w:val="21"/>
                <w:szCs w:val="21"/>
              </w:rPr>
              <w:t xml:space="preserve">       </w:t>
            </w:r>
            <w:r>
              <w:rPr>
                <w:rFonts w:ascii="宋体" w:eastAsia="宋体" w:hAnsi="宋体" w:hint="eastAsia"/>
                <w:sz w:val="18"/>
                <w:szCs w:val="18"/>
              </w:rPr>
              <w:t>（若勾选此项，仅再填写 “第四项”即可）</w:t>
            </w:r>
          </w:p>
        </w:tc>
      </w:tr>
      <w:tr w:rsidR="00800FA1">
        <w:trPr>
          <w:trHeight w:val="363"/>
        </w:trPr>
        <w:tc>
          <w:tcPr>
            <w:tcW w:w="10774" w:type="dxa"/>
            <w:gridSpan w:val="4"/>
            <w:tcBorders>
              <w:bottom w:val="single" w:sz="4" w:space="0" w:color="000000"/>
            </w:tcBorders>
            <w:shd w:val="clear" w:color="000000" w:fill="auto"/>
          </w:tcPr>
          <w:p w:rsidR="00800FA1" w:rsidRDefault="00891015">
            <w:pPr>
              <w:spacing w:line="276" w:lineRule="auto"/>
              <w:rPr>
                <w:rFonts w:ascii="宋体" w:eastAsia="宋体" w:hAnsi="宋体"/>
                <w:sz w:val="21"/>
                <w:szCs w:val="21"/>
              </w:rPr>
            </w:pPr>
            <w:r>
              <w:rPr>
                <w:rFonts w:ascii="等线" w:eastAsia="等线" w:hAnsi="等线" w:cs="等线" w:hint="eastAsia"/>
                <w:b/>
                <w:sz w:val="24"/>
                <w:szCs w:val="24"/>
              </w:rPr>
              <w:t>二、税收居民身份声明：（单选）</w:t>
            </w:r>
          </w:p>
        </w:tc>
      </w:tr>
      <w:tr w:rsidR="00800FA1">
        <w:trPr>
          <w:trHeight w:val="694"/>
        </w:trPr>
        <w:tc>
          <w:tcPr>
            <w:tcW w:w="10774" w:type="dxa"/>
            <w:gridSpan w:val="4"/>
            <w:tcBorders>
              <w:top w:val="single" w:sz="4" w:space="0" w:color="000000"/>
              <w:bottom w:val="dotted" w:sz="4" w:space="0" w:color="auto"/>
            </w:tcBorders>
            <w:shd w:val="clear" w:color="000000" w:fill="auto"/>
          </w:tcPr>
          <w:p w:rsidR="00800FA1" w:rsidRDefault="00891015">
            <w:pPr>
              <w:rPr>
                <w:rFonts w:ascii="宋体" w:eastAsia="宋体" w:hAnsi="宋体"/>
                <w:sz w:val="21"/>
                <w:szCs w:val="21"/>
              </w:rPr>
            </w:pPr>
            <w:r>
              <w:rPr>
                <w:rFonts w:ascii="宋体" w:eastAsia="宋体" w:hAnsi="宋体"/>
                <w:b/>
                <w:bCs/>
                <w:sz w:val="21"/>
                <w:szCs w:val="21"/>
              </w:rPr>
              <w:t>□ 仅为中国税收居民</w:t>
            </w:r>
            <w:r>
              <w:rPr>
                <w:rFonts w:ascii="宋体" w:eastAsia="宋体" w:hAnsi="宋体"/>
                <w:sz w:val="21"/>
                <w:szCs w:val="21"/>
              </w:rPr>
              <w:t xml:space="preserve"> </w:t>
            </w:r>
            <w:r>
              <w:rPr>
                <w:rFonts w:ascii="宋体" w:eastAsia="宋体" w:hAnsi="宋体" w:hint="eastAsia"/>
                <w:sz w:val="18"/>
                <w:szCs w:val="18"/>
              </w:rPr>
              <w:t>（如勾选此项，仅需完成第四项，即填写完毕）</w:t>
            </w:r>
          </w:p>
          <w:p w:rsidR="00800FA1" w:rsidRDefault="00891015">
            <w:pPr>
              <w:rPr>
                <w:rFonts w:ascii="宋体" w:eastAsia="宋体" w:hAnsi="宋体"/>
                <w:sz w:val="21"/>
                <w:szCs w:val="21"/>
              </w:rPr>
            </w:pPr>
            <w:r>
              <w:rPr>
                <w:rFonts w:ascii="宋体" w:eastAsia="宋体" w:hAnsi="宋体"/>
                <w:b/>
                <w:bCs/>
                <w:sz w:val="21"/>
                <w:szCs w:val="21"/>
              </w:rPr>
              <w:t>□ 仅为非居民</w:t>
            </w:r>
            <w:r>
              <w:rPr>
                <w:rFonts w:ascii="宋体" w:eastAsia="宋体" w:hAnsi="宋体"/>
                <w:sz w:val="21"/>
                <w:szCs w:val="21"/>
              </w:rPr>
              <w:t xml:space="preserve">       </w:t>
            </w:r>
            <w:r>
              <w:rPr>
                <w:rFonts w:ascii="宋体" w:eastAsia="宋体" w:hAnsi="宋体" w:hint="eastAsia"/>
                <w:sz w:val="18"/>
                <w:szCs w:val="18"/>
              </w:rPr>
              <w:t>（如勾选此项，请继续往下填写）</w:t>
            </w:r>
          </w:p>
          <w:p w:rsidR="00800FA1" w:rsidRDefault="00891015">
            <w:pPr>
              <w:rPr>
                <w:rFonts w:ascii="宋体" w:eastAsia="宋体" w:hAnsi="宋体"/>
                <w:sz w:val="21"/>
                <w:szCs w:val="21"/>
              </w:rPr>
            </w:pPr>
            <w:r>
              <w:rPr>
                <w:rFonts w:ascii="宋体" w:eastAsia="宋体" w:hAnsi="宋体"/>
                <w:b/>
                <w:bCs/>
                <w:sz w:val="21"/>
                <w:szCs w:val="21"/>
              </w:rPr>
              <w:t>□ 既是中国税收居民又是其他国家（地区）税收居民</w:t>
            </w:r>
            <w:r>
              <w:rPr>
                <w:rFonts w:ascii="宋体" w:eastAsia="宋体" w:hAnsi="宋体"/>
                <w:sz w:val="21"/>
                <w:szCs w:val="21"/>
              </w:rPr>
              <w:t xml:space="preserve">   </w:t>
            </w:r>
            <w:r>
              <w:rPr>
                <w:rFonts w:ascii="宋体" w:eastAsia="宋体" w:hAnsi="宋体" w:hint="eastAsia"/>
                <w:sz w:val="18"/>
                <w:szCs w:val="18"/>
              </w:rPr>
              <w:t>（如勾选此项，请继续往下填写）</w:t>
            </w:r>
          </w:p>
        </w:tc>
      </w:tr>
      <w:tr w:rsidR="00800FA1">
        <w:trPr>
          <w:trHeight w:val="263"/>
        </w:trPr>
        <w:tc>
          <w:tcPr>
            <w:tcW w:w="10774" w:type="dxa"/>
            <w:gridSpan w:val="4"/>
            <w:tcBorders>
              <w:bottom w:val="single" w:sz="4" w:space="0" w:color="000000"/>
            </w:tcBorders>
            <w:shd w:val="clear" w:color="000000" w:fill="auto"/>
          </w:tcPr>
          <w:p w:rsidR="00800FA1" w:rsidRDefault="00891015">
            <w:pPr>
              <w:spacing w:line="276" w:lineRule="auto"/>
              <w:rPr>
                <w:rFonts w:ascii="宋体" w:eastAsia="宋体" w:hAnsi="宋体"/>
                <w:b/>
                <w:sz w:val="21"/>
                <w:szCs w:val="21"/>
              </w:rPr>
            </w:pPr>
            <w:r>
              <w:rPr>
                <w:rFonts w:ascii="等线" w:eastAsia="等线" w:hAnsi="等线" w:cs="等线" w:hint="eastAsia"/>
                <w:b/>
                <w:sz w:val="24"/>
                <w:szCs w:val="24"/>
              </w:rPr>
              <w:t>三、机构基本信息及税收居民身份信息</w:t>
            </w:r>
          </w:p>
        </w:tc>
      </w:tr>
      <w:tr w:rsidR="00800FA1">
        <w:trPr>
          <w:trHeight w:val="395"/>
        </w:trPr>
        <w:tc>
          <w:tcPr>
            <w:tcW w:w="1276" w:type="dxa"/>
            <w:vMerge w:val="restart"/>
            <w:tcBorders>
              <w:top w:val="single" w:sz="4" w:space="0" w:color="000000"/>
              <w:bottom w:val="single" w:sz="4" w:space="0" w:color="000000"/>
              <w:right w:val="single" w:sz="4" w:space="0" w:color="000000"/>
            </w:tcBorders>
            <w:shd w:val="clear" w:color="000000" w:fill="auto"/>
            <w:vAlign w:val="center"/>
          </w:tcPr>
          <w:p w:rsidR="00800FA1" w:rsidRDefault="00891015">
            <w:pPr>
              <w:jc w:val="center"/>
              <w:rPr>
                <w:rFonts w:ascii="宋体" w:eastAsia="宋体" w:hAnsi="宋体"/>
                <w:sz w:val="21"/>
                <w:szCs w:val="21"/>
              </w:rPr>
            </w:pPr>
            <w:r>
              <w:rPr>
                <w:rFonts w:ascii="宋体" w:eastAsia="宋体" w:hAnsi="宋体"/>
                <w:sz w:val="21"/>
                <w:szCs w:val="21"/>
              </w:rPr>
              <w:t>机构名称</w:t>
            </w:r>
          </w:p>
        </w:tc>
        <w:tc>
          <w:tcPr>
            <w:tcW w:w="9498" w:type="dxa"/>
            <w:gridSpan w:val="3"/>
            <w:tcBorders>
              <w:top w:val="single" w:sz="4" w:space="0" w:color="000000"/>
              <w:left w:val="single" w:sz="4" w:space="0" w:color="000000"/>
              <w:bottom w:val="single" w:sz="4" w:space="0" w:color="000000"/>
            </w:tcBorders>
            <w:shd w:val="clear" w:color="000000" w:fill="auto"/>
            <w:vAlign w:val="center"/>
          </w:tcPr>
          <w:p w:rsidR="00800FA1" w:rsidRDefault="00891015">
            <w:pPr>
              <w:jc w:val="left"/>
              <w:rPr>
                <w:rFonts w:ascii="宋体" w:eastAsia="宋体" w:hAnsi="宋体"/>
                <w:sz w:val="21"/>
                <w:szCs w:val="21"/>
              </w:rPr>
            </w:pPr>
            <w:r>
              <w:rPr>
                <w:rFonts w:ascii="宋体" w:eastAsia="宋体" w:hAnsi="宋体"/>
                <w:sz w:val="21"/>
                <w:szCs w:val="21"/>
              </w:rPr>
              <w:t xml:space="preserve">(中文)： </w:t>
            </w:r>
          </w:p>
        </w:tc>
      </w:tr>
      <w:tr w:rsidR="00800FA1">
        <w:trPr>
          <w:trHeight w:val="395"/>
        </w:trPr>
        <w:tc>
          <w:tcPr>
            <w:tcW w:w="1276" w:type="dxa"/>
            <w:vMerge/>
            <w:tcBorders>
              <w:top w:val="single" w:sz="4" w:space="0" w:color="000000"/>
              <w:bottom w:val="single" w:sz="4" w:space="0" w:color="000000"/>
              <w:right w:val="single" w:sz="4" w:space="0" w:color="000000"/>
            </w:tcBorders>
            <w:shd w:val="clear" w:color="000000" w:fill="auto"/>
            <w:vAlign w:val="center"/>
          </w:tcPr>
          <w:p w:rsidR="00800FA1" w:rsidRDefault="00800FA1">
            <w:pPr>
              <w:rPr>
                <w:rFonts w:ascii="宋体" w:eastAsia="宋体" w:hAnsi="宋体"/>
              </w:rPr>
            </w:pPr>
          </w:p>
        </w:tc>
        <w:tc>
          <w:tcPr>
            <w:tcW w:w="9498" w:type="dxa"/>
            <w:gridSpan w:val="3"/>
            <w:tcBorders>
              <w:top w:val="single" w:sz="4" w:space="0" w:color="000000"/>
              <w:left w:val="single" w:sz="4" w:space="0" w:color="000000"/>
              <w:bottom w:val="single" w:sz="4" w:space="0" w:color="000000"/>
            </w:tcBorders>
            <w:shd w:val="clear" w:color="000000" w:fill="auto"/>
            <w:vAlign w:val="center"/>
          </w:tcPr>
          <w:p w:rsidR="00800FA1" w:rsidRDefault="00891015">
            <w:pPr>
              <w:jc w:val="left"/>
              <w:rPr>
                <w:rFonts w:ascii="宋体" w:eastAsia="宋体" w:hAnsi="宋体"/>
                <w:sz w:val="21"/>
                <w:szCs w:val="21"/>
              </w:rPr>
            </w:pPr>
            <w:r>
              <w:rPr>
                <w:rFonts w:ascii="宋体" w:eastAsia="宋体" w:hAnsi="宋体"/>
                <w:sz w:val="21"/>
                <w:szCs w:val="21"/>
              </w:rPr>
              <w:t xml:space="preserve">(英文或拼音)： </w:t>
            </w:r>
          </w:p>
        </w:tc>
      </w:tr>
      <w:tr w:rsidR="00800FA1">
        <w:trPr>
          <w:trHeight w:val="395"/>
        </w:trPr>
        <w:tc>
          <w:tcPr>
            <w:tcW w:w="1276" w:type="dxa"/>
            <w:vMerge w:val="restart"/>
            <w:tcBorders>
              <w:top w:val="single" w:sz="4" w:space="0" w:color="000000"/>
              <w:bottom w:val="single" w:sz="4" w:space="0" w:color="000000"/>
              <w:right w:val="single" w:sz="4" w:space="0" w:color="000000"/>
            </w:tcBorders>
            <w:shd w:val="clear" w:color="000000" w:fill="auto"/>
            <w:vAlign w:val="center"/>
          </w:tcPr>
          <w:p w:rsidR="00800FA1" w:rsidRDefault="00891015">
            <w:pPr>
              <w:jc w:val="center"/>
              <w:rPr>
                <w:rFonts w:ascii="宋体" w:eastAsia="宋体" w:hAnsi="宋体"/>
                <w:sz w:val="21"/>
                <w:szCs w:val="21"/>
              </w:rPr>
            </w:pPr>
            <w:r>
              <w:rPr>
                <w:rFonts w:ascii="宋体" w:eastAsia="宋体" w:hAnsi="宋体"/>
                <w:sz w:val="21"/>
                <w:szCs w:val="21"/>
              </w:rPr>
              <w:t>机构地址</w:t>
            </w:r>
          </w:p>
        </w:tc>
        <w:tc>
          <w:tcPr>
            <w:tcW w:w="9498" w:type="dxa"/>
            <w:gridSpan w:val="3"/>
            <w:tcBorders>
              <w:top w:val="single" w:sz="4" w:space="0" w:color="auto"/>
              <w:left w:val="single" w:sz="4" w:space="0" w:color="000000"/>
              <w:bottom w:val="single" w:sz="4" w:space="0" w:color="000000"/>
            </w:tcBorders>
            <w:shd w:val="clear" w:color="000000" w:fill="auto"/>
            <w:vAlign w:val="center"/>
          </w:tcPr>
          <w:p w:rsidR="00800FA1" w:rsidRDefault="00891015">
            <w:pPr>
              <w:jc w:val="left"/>
              <w:rPr>
                <w:rFonts w:ascii="宋体" w:eastAsia="宋体" w:hAnsi="宋体"/>
                <w:sz w:val="21"/>
                <w:szCs w:val="21"/>
              </w:rPr>
            </w:pPr>
            <w:r>
              <w:rPr>
                <w:rFonts w:ascii="宋体" w:eastAsia="宋体" w:hAnsi="宋体"/>
                <w:sz w:val="21"/>
                <w:szCs w:val="21"/>
              </w:rPr>
              <w:t xml:space="preserve">(中文)：          （国家）         （省）         （市）    </w:t>
            </w:r>
          </w:p>
        </w:tc>
      </w:tr>
      <w:tr w:rsidR="00800FA1">
        <w:trPr>
          <w:trHeight w:val="395"/>
        </w:trPr>
        <w:tc>
          <w:tcPr>
            <w:tcW w:w="1276" w:type="dxa"/>
            <w:vMerge/>
            <w:tcBorders>
              <w:top w:val="single" w:sz="4" w:space="0" w:color="000000"/>
              <w:bottom w:val="single" w:sz="4" w:space="0" w:color="000000"/>
              <w:right w:val="single" w:sz="4" w:space="0" w:color="000000"/>
            </w:tcBorders>
            <w:shd w:val="clear" w:color="000000" w:fill="auto"/>
            <w:vAlign w:val="center"/>
          </w:tcPr>
          <w:p w:rsidR="00800FA1" w:rsidRDefault="00800FA1">
            <w:pPr>
              <w:rPr>
                <w:rFonts w:ascii="宋体" w:eastAsia="宋体" w:hAnsi="宋体"/>
              </w:rPr>
            </w:pPr>
          </w:p>
        </w:tc>
        <w:tc>
          <w:tcPr>
            <w:tcW w:w="9498" w:type="dxa"/>
            <w:gridSpan w:val="3"/>
            <w:tcBorders>
              <w:top w:val="single" w:sz="4" w:space="0" w:color="000000"/>
              <w:left w:val="single" w:sz="4" w:space="0" w:color="000000"/>
              <w:bottom w:val="single" w:sz="4" w:space="0" w:color="000000"/>
            </w:tcBorders>
            <w:shd w:val="clear" w:color="000000" w:fill="auto"/>
            <w:vAlign w:val="center"/>
          </w:tcPr>
          <w:p w:rsidR="00800FA1" w:rsidRDefault="00891015">
            <w:pPr>
              <w:rPr>
                <w:rFonts w:ascii="宋体" w:eastAsia="宋体" w:hAnsi="宋体"/>
                <w:sz w:val="21"/>
                <w:szCs w:val="21"/>
              </w:rPr>
            </w:pPr>
            <w:r>
              <w:rPr>
                <w:rFonts w:ascii="宋体" w:eastAsia="宋体" w:hAnsi="宋体"/>
                <w:sz w:val="21"/>
                <w:szCs w:val="21"/>
              </w:rPr>
              <w:t>(英文或拼音)：         （</w:t>
            </w:r>
            <w:r>
              <w:rPr>
                <w:rStyle w:val="require-field"/>
                <w:rFonts w:ascii="宋体" w:eastAsia="宋体" w:hAnsi="宋体"/>
                <w:color w:val="333333"/>
                <w:sz w:val="18"/>
                <w:szCs w:val="18"/>
              </w:rPr>
              <w:t>Country</w:t>
            </w:r>
            <w:r>
              <w:rPr>
                <w:rFonts w:ascii="宋体" w:eastAsia="宋体" w:hAnsi="宋体"/>
                <w:sz w:val="21"/>
                <w:szCs w:val="21"/>
              </w:rPr>
              <w:t>）         （Province）        （City）</w:t>
            </w:r>
          </w:p>
        </w:tc>
      </w:tr>
      <w:tr w:rsidR="00800FA1">
        <w:trPr>
          <w:trHeight w:val="395"/>
        </w:trPr>
        <w:tc>
          <w:tcPr>
            <w:tcW w:w="2694" w:type="dxa"/>
            <w:gridSpan w:val="2"/>
            <w:tcBorders>
              <w:top w:val="single" w:sz="4" w:space="0" w:color="000000"/>
              <w:bottom w:val="single" w:sz="4" w:space="0" w:color="000000"/>
              <w:right w:val="single" w:sz="4" w:space="0" w:color="000000"/>
            </w:tcBorders>
            <w:shd w:val="clear" w:color="000000" w:fill="auto"/>
            <w:vAlign w:val="center"/>
          </w:tcPr>
          <w:p w:rsidR="00800FA1" w:rsidRDefault="00891015">
            <w:pPr>
              <w:jc w:val="center"/>
              <w:rPr>
                <w:rFonts w:ascii="宋体" w:eastAsia="宋体" w:hAnsi="宋体"/>
                <w:sz w:val="21"/>
                <w:szCs w:val="21"/>
              </w:rPr>
            </w:pPr>
            <w:r>
              <w:rPr>
                <w:rFonts w:ascii="宋体" w:eastAsia="宋体" w:hAnsi="宋体"/>
                <w:sz w:val="21"/>
                <w:szCs w:val="21"/>
              </w:rPr>
              <w:t>税收居民国(地区)</w:t>
            </w:r>
          </w:p>
        </w:tc>
        <w:tc>
          <w:tcPr>
            <w:tcW w:w="5395" w:type="dxa"/>
            <w:tcBorders>
              <w:top w:val="single" w:sz="4" w:space="0" w:color="000000"/>
              <w:left w:val="single" w:sz="4" w:space="0" w:color="000000"/>
              <w:bottom w:val="single" w:sz="4" w:space="0" w:color="000000"/>
              <w:right w:val="single" w:sz="4" w:space="0" w:color="000000"/>
            </w:tcBorders>
            <w:shd w:val="clear" w:color="000000" w:fill="auto"/>
            <w:vAlign w:val="center"/>
          </w:tcPr>
          <w:p w:rsidR="00800FA1" w:rsidRDefault="00891015">
            <w:pPr>
              <w:jc w:val="center"/>
              <w:rPr>
                <w:rFonts w:ascii="宋体" w:eastAsia="宋体" w:hAnsi="宋体"/>
                <w:sz w:val="21"/>
                <w:szCs w:val="21"/>
              </w:rPr>
            </w:pPr>
            <w:r>
              <w:rPr>
                <w:rFonts w:ascii="宋体" w:eastAsia="宋体" w:hAnsi="宋体"/>
                <w:sz w:val="21"/>
                <w:szCs w:val="21"/>
              </w:rPr>
              <w:t>居民国(地区)纳税人识别号</w:t>
            </w:r>
          </w:p>
        </w:tc>
        <w:tc>
          <w:tcPr>
            <w:tcW w:w="2685" w:type="dxa"/>
            <w:tcBorders>
              <w:top w:val="single" w:sz="4" w:space="0" w:color="000000"/>
              <w:left w:val="single" w:sz="4" w:space="0" w:color="000000"/>
              <w:bottom w:val="single" w:sz="4" w:space="0" w:color="000000"/>
            </w:tcBorders>
            <w:shd w:val="clear" w:color="000000" w:fill="auto"/>
            <w:vAlign w:val="center"/>
          </w:tcPr>
          <w:p w:rsidR="00800FA1" w:rsidRDefault="00891015">
            <w:pPr>
              <w:rPr>
                <w:rFonts w:ascii="宋体" w:eastAsia="宋体" w:hAnsi="宋体"/>
                <w:sz w:val="21"/>
                <w:szCs w:val="21"/>
              </w:rPr>
            </w:pPr>
            <w:r>
              <w:rPr>
                <w:rFonts w:ascii="宋体" w:eastAsia="宋体" w:hAnsi="宋体"/>
                <w:sz w:val="21"/>
                <w:szCs w:val="21"/>
              </w:rPr>
              <w:t>若无法提供纳税人识别号，请选择原因A或B</w:t>
            </w:r>
          </w:p>
        </w:tc>
      </w:tr>
      <w:tr w:rsidR="00800FA1">
        <w:trPr>
          <w:trHeight w:val="347"/>
        </w:trPr>
        <w:tc>
          <w:tcPr>
            <w:tcW w:w="2694" w:type="dxa"/>
            <w:gridSpan w:val="2"/>
            <w:tcBorders>
              <w:top w:val="single" w:sz="4" w:space="0" w:color="000000"/>
              <w:bottom w:val="single" w:sz="4" w:space="0" w:color="000000"/>
              <w:right w:val="single" w:sz="4" w:space="0" w:color="000000"/>
            </w:tcBorders>
            <w:shd w:val="clear" w:color="000000" w:fill="auto"/>
          </w:tcPr>
          <w:p w:rsidR="00800FA1" w:rsidRDefault="00891015">
            <w:pPr>
              <w:jc w:val="left"/>
              <w:rPr>
                <w:rFonts w:ascii="宋体" w:eastAsia="宋体" w:hAnsi="宋体"/>
                <w:b/>
                <w:sz w:val="21"/>
                <w:szCs w:val="21"/>
              </w:rPr>
            </w:pPr>
            <w:r>
              <w:rPr>
                <w:rFonts w:ascii="宋体" w:eastAsia="宋体" w:hAnsi="宋体"/>
                <w:b/>
                <w:sz w:val="21"/>
                <w:szCs w:val="21"/>
              </w:rPr>
              <w:t>1.</w:t>
            </w:r>
            <w:r>
              <w:rPr>
                <w:rFonts w:ascii="宋体" w:eastAsia="宋体" w:hAnsi="宋体"/>
                <w:sz w:val="18"/>
                <w:szCs w:val="18"/>
              </w:rPr>
              <w:t xml:space="preserve"> </w:t>
            </w:r>
          </w:p>
        </w:tc>
        <w:tc>
          <w:tcPr>
            <w:tcW w:w="5395" w:type="dxa"/>
            <w:tcBorders>
              <w:top w:val="single" w:sz="4" w:space="0" w:color="000000"/>
              <w:left w:val="single" w:sz="4" w:space="0" w:color="000000"/>
              <w:bottom w:val="single" w:sz="4" w:space="0" w:color="000000"/>
              <w:right w:val="single" w:sz="4" w:space="0" w:color="000000"/>
            </w:tcBorders>
            <w:shd w:val="clear" w:color="000000" w:fill="auto"/>
          </w:tcPr>
          <w:p w:rsidR="00800FA1" w:rsidRDefault="00800FA1">
            <w:pPr>
              <w:jc w:val="left"/>
              <w:rPr>
                <w:rFonts w:ascii="宋体" w:eastAsia="宋体" w:hAnsi="宋体"/>
                <w:b/>
                <w:sz w:val="21"/>
                <w:szCs w:val="21"/>
              </w:rPr>
            </w:pPr>
          </w:p>
        </w:tc>
        <w:tc>
          <w:tcPr>
            <w:tcW w:w="2685" w:type="dxa"/>
            <w:tcBorders>
              <w:top w:val="single" w:sz="4" w:space="0" w:color="000000"/>
              <w:left w:val="single" w:sz="4" w:space="0" w:color="000000"/>
              <w:bottom w:val="single" w:sz="4" w:space="0" w:color="000000"/>
            </w:tcBorders>
            <w:shd w:val="clear" w:color="000000" w:fill="auto"/>
          </w:tcPr>
          <w:p w:rsidR="00800FA1" w:rsidRDefault="00800FA1">
            <w:pPr>
              <w:rPr>
                <w:rFonts w:ascii="宋体" w:eastAsia="宋体" w:hAnsi="宋体"/>
                <w:b/>
                <w:sz w:val="21"/>
                <w:szCs w:val="21"/>
              </w:rPr>
            </w:pPr>
          </w:p>
        </w:tc>
      </w:tr>
      <w:tr w:rsidR="00800FA1">
        <w:trPr>
          <w:trHeight w:val="267"/>
        </w:trPr>
        <w:tc>
          <w:tcPr>
            <w:tcW w:w="2694" w:type="dxa"/>
            <w:gridSpan w:val="2"/>
            <w:tcBorders>
              <w:top w:val="single" w:sz="4" w:space="0" w:color="000000"/>
              <w:bottom w:val="single" w:sz="4" w:space="0" w:color="000000"/>
              <w:right w:val="single" w:sz="4" w:space="0" w:color="000000"/>
            </w:tcBorders>
            <w:shd w:val="clear" w:color="000000" w:fill="auto"/>
          </w:tcPr>
          <w:p w:rsidR="00800FA1" w:rsidRDefault="00891015">
            <w:pPr>
              <w:rPr>
                <w:rFonts w:ascii="宋体" w:eastAsia="宋体" w:hAnsi="宋体"/>
                <w:b/>
                <w:sz w:val="21"/>
                <w:szCs w:val="21"/>
              </w:rPr>
            </w:pPr>
            <w:r>
              <w:rPr>
                <w:rFonts w:ascii="宋体" w:eastAsia="宋体" w:hAnsi="宋体"/>
                <w:b/>
                <w:sz w:val="21"/>
                <w:szCs w:val="21"/>
              </w:rPr>
              <w:t>2.</w:t>
            </w:r>
            <w:r>
              <w:rPr>
                <w:rFonts w:ascii="宋体" w:eastAsia="宋体" w:hAnsi="宋体"/>
                <w:sz w:val="18"/>
                <w:szCs w:val="18"/>
              </w:rPr>
              <w:t xml:space="preserve"> </w:t>
            </w:r>
          </w:p>
        </w:tc>
        <w:tc>
          <w:tcPr>
            <w:tcW w:w="5395" w:type="dxa"/>
            <w:tcBorders>
              <w:top w:val="single" w:sz="4" w:space="0" w:color="000000"/>
              <w:left w:val="single" w:sz="4" w:space="0" w:color="000000"/>
              <w:bottom w:val="single" w:sz="4" w:space="0" w:color="000000"/>
              <w:right w:val="single" w:sz="4" w:space="0" w:color="000000"/>
            </w:tcBorders>
            <w:shd w:val="clear" w:color="000000" w:fill="auto"/>
          </w:tcPr>
          <w:p w:rsidR="00800FA1" w:rsidRDefault="00800FA1">
            <w:pPr>
              <w:rPr>
                <w:rFonts w:ascii="宋体" w:eastAsia="宋体" w:hAnsi="宋体"/>
                <w:b/>
                <w:sz w:val="21"/>
                <w:szCs w:val="21"/>
              </w:rPr>
            </w:pPr>
          </w:p>
        </w:tc>
        <w:tc>
          <w:tcPr>
            <w:tcW w:w="2685" w:type="dxa"/>
            <w:tcBorders>
              <w:top w:val="single" w:sz="4" w:space="0" w:color="000000"/>
              <w:left w:val="single" w:sz="4" w:space="0" w:color="000000"/>
              <w:bottom w:val="single" w:sz="4" w:space="0" w:color="000000"/>
            </w:tcBorders>
            <w:shd w:val="clear" w:color="000000" w:fill="auto"/>
          </w:tcPr>
          <w:p w:rsidR="00800FA1" w:rsidRDefault="00800FA1">
            <w:pPr>
              <w:rPr>
                <w:rFonts w:ascii="宋体" w:eastAsia="宋体" w:hAnsi="宋体"/>
                <w:b/>
                <w:sz w:val="21"/>
                <w:szCs w:val="21"/>
              </w:rPr>
            </w:pPr>
          </w:p>
        </w:tc>
      </w:tr>
      <w:tr w:rsidR="00800FA1">
        <w:trPr>
          <w:trHeight w:val="138"/>
        </w:trPr>
        <w:tc>
          <w:tcPr>
            <w:tcW w:w="2694" w:type="dxa"/>
            <w:gridSpan w:val="2"/>
            <w:tcBorders>
              <w:top w:val="single" w:sz="4" w:space="0" w:color="000000"/>
              <w:bottom w:val="single" w:sz="4" w:space="0" w:color="000000"/>
              <w:right w:val="single" w:sz="4" w:space="0" w:color="000000"/>
            </w:tcBorders>
            <w:shd w:val="clear" w:color="000000" w:fill="auto"/>
          </w:tcPr>
          <w:p w:rsidR="00800FA1" w:rsidRDefault="00891015">
            <w:pPr>
              <w:jc w:val="left"/>
              <w:rPr>
                <w:rFonts w:ascii="宋体" w:eastAsia="宋体" w:hAnsi="宋体"/>
                <w:b/>
                <w:sz w:val="21"/>
                <w:szCs w:val="21"/>
              </w:rPr>
            </w:pPr>
            <w:r>
              <w:rPr>
                <w:rFonts w:ascii="宋体" w:eastAsia="宋体" w:hAnsi="宋体"/>
                <w:b/>
                <w:sz w:val="21"/>
                <w:szCs w:val="21"/>
              </w:rPr>
              <w:t>3.</w:t>
            </w:r>
            <w:r>
              <w:rPr>
                <w:rFonts w:ascii="宋体" w:eastAsia="宋体" w:hAnsi="宋体"/>
                <w:sz w:val="18"/>
                <w:szCs w:val="18"/>
              </w:rPr>
              <w:t xml:space="preserve"> </w:t>
            </w:r>
          </w:p>
        </w:tc>
        <w:tc>
          <w:tcPr>
            <w:tcW w:w="5395" w:type="dxa"/>
            <w:tcBorders>
              <w:top w:val="single" w:sz="4" w:space="0" w:color="000000"/>
              <w:left w:val="single" w:sz="4" w:space="0" w:color="000000"/>
              <w:bottom w:val="single" w:sz="4" w:space="0" w:color="000000"/>
              <w:right w:val="single" w:sz="4" w:space="0" w:color="000000"/>
            </w:tcBorders>
            <w:shd w:val="clear" w:color="000000" w:fill="auto"/>
          </w:tcPr>
          <w:p w:rsidR="00800FA1" w:rsidRDefault="00800FA1">
            <w:pPr>
              <w:jc w:val="left"/>
              <w:rPr>
                <w:rFonts w:ascii="宋体" w:eastAsia="宋体" w:hAnsi="宋体"/>
                <w:b/>
                <w:sz w:val="21"/>
                <w:szCs w:val="21"/>
              </w:rPr>
            </w:pPr>
          </w:p>
        </w:tc>
        <w:tc>
          <w:tcPr>
            <w:tcW w:w="2685" w:type="dxa"/>
            <w:tcBorders>
              <w:top w:val="single" w:sz="4" w:space="0" w:color="000000"/>
              <w:left w:val="single" w:sz="4" w:space="0" w:color="000000"/>
              <w:bottom w:val="single" w:sz="4" w:space="0" w:color="000000"/>
            </w:tcBorders>
            <w:shd w:val="clear" w:color="000000" w:fill="auto"/>
          </w:tcPr>
          <w:p w:rsidR="00800FA1" w:rsidRDefault="00800FA1">
            <w:pPr>
              <w:jc w:val="left"/>
              <w:rPr>
                <w:rFonts w:ascii="宋体" w:eastAsia="宋体" w:hAnsi="宋体"/>
                <w:b/>
                <w:sz w:val="21"/>
                <w:szCs w:val="21"/>
              </w:rPr>
            </w:pPr>
          </w:p>
        </w:tc>
      </w:tr>
      <w:tr w:rsidR="00800FA1">
        <w:trPr>
          <w:trHeight w:val="158"/>
        </w:trPr>
        <w:tc>
          <w:tcPr>
            <w:tcW w:w="10774" w:type="dxa"/>
            <w:gridSpan w:val="4"/>
            <w:tcBorders>
              <w:top w:val="single" w:sz="4" w:space="0" w:color="000000"/>
              <w:bottom w:val="single" w:sz="4" w:space="0" w:color="FFFFFF"/>
            </w:tcBorders>
            <w:shd w:val="clear" w:color="000000" w:fill="auto"/>
          </w:tcPr>
          <w:p w:rsidR="00800FA1" w:rsidRDefault="00891015">
            <w:pPr>
              <w:rPr>
                <w:rFonts w:ascii="宋体" w:eastAsia="宋体" w:hAnsi="宋体"/>
              </w:rPr>
            </w:pPr>
            <w:r>
              <w:rPr>
                <w:rFonts w:ascii="宋体" w:eastAsia="宋体" w:hAnsi="宋体"/>
              </w:rPr>
              <w:t>如果不能提供居民国</w:t>
            </w:r>
            <w:r>
              <w:rPr>
                <w:rFonts w:ascii="宋体" w:eastAsia="宋体" w:hAnsi="宋体" w:hint="eastAsia"/>
              </w:rPr>
              <w:t>（地区）纳锐人识别号，请选择原因：</w:t>
            </w:r>
          </w:p>
          <w:p w:rsidR="00800FA1" w:rsidRDefault="00891015">
            <w:pPr>
              <w:rPr>
                <w:rFonts w:ascii="宋体" w:hAnsi="宋体"/>
                <w:b/>
              </w:rPr>
            </w:pPr>
            <w:r>
              <w:rPr>
                <w:rFonts w:ascii="宋体" w:eastAsia="宋体" w:hAnsi="宋体"/>
                <w:b/>
                <w:bCs/>
                <w:sz w:val="21"/>
                <w:szCs w:val="21"/>
              </w:rPr>
              <w:t xml:space="preserve">□ </w:t>
            </w:r>
            <w:r>
              <w:rPr>
                <w:rFonts w:ascii="宋体" w:eastAsia="宋体" w:hAnsi="宋体" w:hint="eastAsia"/>
                <w:b/>
                <w:bCs/>
                <w:sz w:val="21"/>
                <w:szCs w:val="21"/>
              </w:rPr>
              <w:t xml:space="preserve">A </w:t>
            </w:r>
            <w:r>
              <w:rPr>
                <w:rFonts w:ascii="宋体" w:hAnsi="宋体"/>
              </w:rPr>
              <w:t>居民国（地区）不发放纳税人识别号</w:t>
            </w:r>
          </w:p>
        </w:tc>
      </w:tr>
      <w:tr w:rsidR="00800FA1">
        <w:trPr>
          <w:trHeight w:val="158"/>
        </w:trPr>
        <w:tc>
          <w:tcPr>
            <w:tcW w:w="10774" w:type="dxa"/>
            <w:gridSpan w:val="4"/>
            <w:tcBorders>
              <w:top w:val="single" w:sz="4" w:space="0" w:color="FFFFFF"/>
              <w:bottom w:val="single" w:sz="4" w:space="0" w:color="FFFFFF"/>
            </w:tcBorders>
            <w:shd w:val="clear" w:color="000000" w:fill="auto"/>
          </w:tcPr>
          <w:p w:rsidR="00800FA1" w:rsidRDefault="00891015">
            <w:pPr>
              <w:rPr>
                <w:rFonts w:ascii="宋体" w:hAnsi="宋体"/>
                <w:b/>
              </w:rPr>
            </w:pPr>
            <w:r>
              <w:rPr>
                <w:rFonts w:ascii="宋体" w:eastAsia="宋体" w:hAnsi="宋体"/>
                <w:b/>
                <w:bCs/>
                <w:sz w:val="21"/>
                <w:szCs w:val="21"/>
              </w:rPr>
              <w:t xml:space="preserve">□ </w:t>
            </w:r>
            <w:r>
              <w:rPr>
                <w:rFonts w:ascii="宋体" w:eastAsia="宋体" w:hAnsi="宋体" w:hint="eastAsia"/>
                <w:b/>
                <w:bCs/>
                <w:sz w:val="21"/>
                <w:szCs w:val="21"/>
              </w:rPr>
              <w:t xml:space="preserve">B </w:t>
            </w:r>
            <w:r>
              <w:rPr>
                <w:rFonts w:ascii="宋体" w:hAnsi="宋体"/>
              </w:rPr>
              <w:t>账户持有人未能取得纳税人识别号</w:t>
            </w:r>
            <w:r>
              <w:rPr>
                <w:rFonts w:ascii="宋体" w:eastAsia="宋体" w:hAnsi="宋体" w:hint="eastAsia"/>
              </w:rPr>
              <w:t xml:space="preserve"> </w:t>
            </w:r>
            <w:r>
              <w:rPr>
                <w:rFonts w:ascii="宋体" w:eastAsia="宋体" w:hAnsi="宋体"/>
              </w:rPr>
              <w:t xml:space="preserve"> </w:t>
            </w:r>
            <w:r>
              <w:rPr>
                <w:rFonts w:ascii="宋体" w:eastAsia="宋体" w:hAnsi="宋体"/>
                <w:sz w:val="18"/>
                <w:szCs w:val="18"/>
              </w:rPr>
              <w:t>（若选择此项，请解释未能取得纳税人识别号的具体原因）</w:t>
            </w:r>
          </w:p>
        </w:tc>
      </w:tr>
      <w:tr w:rsidR="00800FA1">
        <w:trPr>
          <w:trHeight w:val="756"/>
        </w:trPr>
        <w:tc>
          <w:tcPr>
            <w:tcW w:w="10774" w:type="dxa"/>
            <w:gridSpan w:val="4"/>
            <w:tcBorders>
              <w:top w:val="single" w:sz="4" w:space="0" w:color="FFFFFF"/>
              <w:bottom w:val="single" w:sz="4" w:space="0" w:color="auto"/>
            </w:tcBorders>
            <w:shd w:val="clear" w:color="000000" w:fill="auto"/>
          </w:tcPr>
          <w:p w:rsidR="00800FA1" w:rsidRDefault="00891015">
            <w:pPr>
              <w:rPr>
                <w:rFonts w:ascii="宋体" w:eastAsia="宋体" w:hAnsi="宋体"/>
                <w:sz w:val="21"/>
                <w:szCs w:val="21"/>
                <w:u w:val="single"/>
              </w:rPr>
            </w:pPr>
            <w:r>
              <w:rPr>
                <w:rFonts w:ascii="宋体" w:eastAsia="宋体" w:hAnsi="宋体"/>
                <w:b/>
                <w:bCs/>
                <w:sz w:val="21"/>
                <w:szCs w:val="21"/>
              </w:rPr>
              <w:t>原因</w:t>
            </w:r>
            <w:r>
              <w:rPr>
                <w:rFonts w:ascii="宋体" w:eastAsia="宋体" w:hAnsi="宋体" w:hint="eastAsia"/>
                <w:b/>
                <w:bCs/>
                <w:sz w:val="21"/>
                <w:szCs w:val="21"/>
              </w:rPr>
              <w:t>：</w:t>
            </w:r>
            <w:r>
              <w:rPr>
                <w:rFonts w:ascii="宋体" w:eastAsia="宋体" w:hAnsi="宋体"/>
                <w:b/>
                <w:bCs/>
                <w:sz w:val="21"/>
                <w:szCs w:val="21"/>
                <w:u w:val="single"/>
              </w:rPr>
              <w:t xml:space="preserve"> </w:t>
            </w:r>
            <w:r>
              <w:rPr>
                <w:rFonts w:ascii="宋体" w:eastAsia="宋体" w:hAnsi="宋体"/>
                <w:sz w:val="21"/>
                <w:szCs w:val="21"/>
                <w:u w:val="single"/>
              </w:rPr>
              <w:t xml:space="preserve">                                                                                                   </w:t>
            </w:r>
          </w:p>
          <w:p w:rsidR="00800FA1" w:rsidRDefault="00891015">
            <w:pPr>
              <w:rPr>
                <w:rFonts w:ascii="宋体" w:eastAsia="宋体" w:hAnsi="宋体"/>
                <w:sz w:val="21"/>
                <w:szCs w:val="21"/>
                <w:u w:val="single"/>
              </w:rPr>
            </w:pPr>
            <w:r>
              <w:rPr>
                <w:rFonts w:ascii="宋体" w:eastAsia="宋体" w:hAnsi="宋体"/>
                <w:sz w:val="21"/>
                <w:szCs w:val="21"/>
                <w:u w:val="single"/>
              </w:rPr>
              <w:t xml:space="preserve">                                                                                                    </w:t>
            </w:r>
          </w:p>
        </w:tc>
      </w:tr>
      <w:tr w:rsidR="00800FA1">
        <w:trPr>
          <w:trHeight w:val="3008"/>
        </w:trPr>
        <w:tc>
          <w:tcPr>
            <w:tcW w:w="10774" w:type="dxa"/>
            <w:gridSpan w:val="4"/>
            <w:tcBorders>
              <w:bottom w:val="single" w:sz="4" w:space="0" w:color="auto"/>
            </w:tcBorders>
            <w:shd w:val="clear" w:color="000000" w:fill="auto"/>
          </w:tcPr>
          <w:p w:rsidR="00800FA1" w:rsidRDefault="00891015">
            <w:pPr>
              <w:spacing w:line="276" w:lineRule="auto"/>
              <w:rPr>
                <w:rFonts w:ascii="等线" w:eastAsia="等线" w:hAnsi="等线" w:cs="等线"/>
                <w:b/>
                <w:sz w:val="24"/>
                <w:szCs w:val="24"/>
              </w:rPr>
            </w:pPr>
            <w:r>
              <w:rPr>
                <w:rFonts w:ascii="等线" w:eastAsia="等线" w:hAnsi="等线" w:cs="等线" w:hint="eastAsia"/>
                <w:b/>
                <w:color w:val="FF0000"/>
                <w:sz w:val="28"/>
                <w:szCs w:val="28"/>
              </w:rPr>
              <w:t xml:space="preserve">* </w:t>
            </w:r>
            <w:r>
              <w:rPr>
                <w:rFonts w:ascii="等线" w:eastAsia="等线" w:hAnsi="等线" w:cs="等线" w:hint="eastAsia"/>
                <w:b/>
                <w:sz w:val="24"/>
                <w:szCs w:val="24"/>
              </w:rPr>
              <w:t>四、声明和签署</w:t>
            </w:r>
          </w:p>
          <w:p w:rsidR="00800FA1" w:rsidRDefault="00891015">
            <w:pPr>
              <w:pStyle w:val="Default"/>
              <w:spacing w:line="276" w:lineRule="auto"/>
              <w:ind w:firstLineChars="200" w:firstLine="420"/>
              <w:rPr>
                <w:rFonts w:hAnsi="宋体"/>
                <w:sz w:val="21"/>
                <w:szCs w:val="21"/>
              </w:rPr>
            </w:pPr>
            <w:r>
              <w:rPr>
                <w:rFonts w:hAnsi="宋体"/>
                <w:sz w:val="21"/>
                <w:szCs w:val="21"/>
              </w:rPr>
              <w:t>本投资人已了解相关法规，自愿遵守</w:t>
            </w:r>
            <w:r>
              <w:rPr>
                <w:rFonts w:hAnsi="宋体" w:cs="Times New Roman" w:hint="eastAsia"/>
                <w:color w:val="auto"/>
                <w:sz w:val="21"/>
                <w:szCs w:val="21"/>
              </w:rPr>
              <w:t>《非居民金融账户涉税信息尽职调查管理办法</w:t>
            </w:r>
            <w:r>
              <w:rPr>
                <w:rFonts w:hAnsi="宋体" w:hint="eastAsia"/>
                <w:sz w:val="21"/>
                <w:szCs w:val="21"/>
              </w:rPr>
              <w:t>》规定的责任和风险，</w:t>
            </w:r>
            <w:r>
              <w:rPr>
                <w:rFonts w:hAnsi="宋体"/>
                <w:sz w:val="21"/>
                <w:szCs w:val="21"/>
              </w:rPr>
              <w:t>确认此表所填信息真实、准确、完整。当本声明中提供</w:t>
            </w:r>
            <w:r>
              <w:rPr>
                <w:rFonts w:hAnsi="宋体" w:hint="eastAsia"/>
                <w:sz w:val="21"/>
                <w:szCs w:val="21"/>
              </w:rPr>
              <w:t>的</w:t>
            </w:r>
            <w:r>
              <w:rPr>
                <w:rFonts w:hAnsi="宋体"/>
                <w:sz w:val="21"/>
                <w:szCs w:val="21"/>
              </w:rPr>
              <w:t>信息发生变更时，主动于30日内通知贵</w:t>
            </w:r>
            <w:r>
              <w:rPr>
                <w:rFonts w:hAnsi="宋体" w:hint="eastAsia"/>
                <w:sz w:val="21"/>
                <w:szCs w:val="21"/>
              </w:rPr>
              <w:t>司</w:t>
            </w:r>
            <w:r>
              <w:rPr>
                <w:rFonts w:hAnsi="宋体"/>
                <w:sz w:val="21"/>
                <w:szCs w:val="21"/>
              </w:rPr>
              <w:t>并进行变更</w:t>
            </w:r>
            <w:r>
              <w:rPr>
                <w:rFonts w:hAnsi="宋体" w:hint="eastAsia"/>
                <w:sz w:val="21"/>
                <w:szCs w:val="21"/>
              </w:rPr>
              <w:t>，</w:t>
            </w:r>
            <w:r>
              <w:rPr>
                <w:rFonts w:hAnsi="宋体"/>
                <w:sz w:val="21"/>
                <w:szCs w:val="21"/>
              </w:rPr>
              <w:t>否则由此造成的一切不利后果由本投资人自行承担。</w:t>
            </w:r>
          </w:p>
          <w:p w:rsidR="00800FA1" w:rsidRDefault="00800FA1">
            <w:pPr>
              <w:pStyle w:val="Default"/>
              <w:spacing w:line="276" w:lineRule="auto"/>
              <w:ind w:firstLineChars="200" w:firstLine="420"/>
              <w:rPr>
                <w:rFonts w:hAnsi="宋体"/>
                <w:sz w:val="21"/>
                <w:szCs w:val="21"/>
              </w:rPr>
            </w:pPr>
          </w:p>
          <w:p w:rsidR="00800FA1" w:rsidRDefault="00891015">
            <w:pPr>
              <w:pStyle w:val="Default"/>
              <w:spacing w:line="276" w:lineRule="auto"/>
              <w:ind w:firstLineChars="3100" w:firstLine="6535"/>
              <w:rPr>
                <w:rFonts w:hAnsi="宋体"/>
                <w:b/>
                <w:sz w:val="21"/>
                <w:szCs w:val="21"/>
              </w:rPr>
            </w:pPr>
            <w:r>
              <w:rPr>
                <w:rFonts w:hAnsi="宋体" w:hint="eastAsia"/>
                <w:b/>
                <w:sz w:val="21"/>
                <w:szCs w:val="21"/>
              </w:rPr>
              <w:t>机构</w:t>
            </w:r>
            <w:r>
              <w:rPr>
                <w:rFonts w:hAnsi="宋体"/>
                <w:b/>
                <w:sz w:val="21"/>
                <w:szCs w:val="21"/>
              </w:rPr>
              <w:t>授权</w:t>
            </w:r>
            <w:r>
              <w:rPr>
                <w:rFonts w:hAnsi="宋体" w:hint="eastAsia"/>
                <w:b/>
                <w:sz w:val="21"/>
                <w:szCs w:val="21"/>
              </w:rPr>
              <w:t>经办人</w:t>
            </w:r>
            <w:r>
              <w:rPr>
                <w:rFonts w:hAnsi="宋体"/>
                <w:b/>
                <w:sz w:val="21"/>
                <w:szCs w:val="21"/>
              </w:rPr>
              <w:t>签字</w:t>
            </w:r>
            <w:r>
              <w:rPr>
                <w:rFonts w:hAnsi="宋体" w:hint="eastAsia"/>
                <w:b/>
                <w:sz w:val="21"/>
                <w:szCs w:val="21"/>
              </w:rPr>
              <w:t>：</w:t>
            </w:r>
          </w:p>
          <w:p w:rsidR="00800FA1" w:rsidRDefault="00891015">
            <w:pPr>
              <w:ind w:firstLineChars="3100" w:firstLine="6510"/>
              <w:jc w:val="left"/>
              <w:rPr>
                <w:rFonts w:ascii="宋体" w:eastAsia="宋体" w:hAnsi="宋体"/>
                <w:b/>
                <w:sz w:val="21"/>
                <w:szCs w:val="21"/>
              </w:rPr>
            </w:pPr>
            <w:r>
              <w:rPr>
                <w:rFonts w:ascii="宋体" w:eastAsia="宋体" w:hAnsi="宋体" w:hint="eastAsia"/>
                <w:bCs/>
                <w:sz w:val="21"/>
                <w:szCs w:val="21"/>
              </w:rPr>
              <w:t>（盖公章、法人章）</w:t>
            </w:r>
            <w:r>
              <w:rPr>
                <w:rFonts w:ascii="宋体" w:eastAsia="宋体" w:hAnsi="宋体"/>
                <w:b/>
                <w:sz w:val="21"/>
                <w:szCs w:val="21"/>
              </w:rPr>
              <w:t xml:space="preserve"> </w:t>
            </w:r>
          </w:p>
          <w:p w:rsidR="00800FA1" w:rsidRDefault="00800FA1">
            <w:pPr>
              <w:pStyle w:val="Default"/>
              <w:spacing w:line="276" w:lineRule="auto"/>
              <w:rPr>
                <w:b/>
              </w:rPr>
            </w:pPr>
          </w:p>
          <w:p w:rsidR="00800FA1" w:rsidRDefault="00891015">
            <w:pPr>
              <w:ind w:left="630" w:firstLineChars="2800" w:firstLine="5903"/>
              <w:jc w:val="left"/>
              <w:rPr>
                <w:rFonts w:ascii="宋体" w:eastAsia="宋体" w:hAnsi="宋体"/>
                <w:sz w:val="21"/>
                <w:szCs w:val="21"/>
              </w:rPr>
            </w:pPr>
            <w:r>
              <w:rPr>
                <w:rFonts w:ascii="宋体" w:eastAsia="宋体" w:hAnsi="宋体"/>
                <w:b/>
                <w:sz w:val="21"/>
                <w:szCs w:val="21"/>
              </w:rPr>
              <w:t xml:space="preserve">       </w:t>
            </w:r>
            <w:r>
              <w:rPr>
                <w:rFonts w:ascii="宋体" w:eastAsia="宋体" w:hAnsi="宋体" w:hint="eastAsia"/>
                <w:b/>
                <w:sz w:val="21"/>
                <w:szCs w:val="21"/>
              </w:rPr>
              <w:t xml:space="preserve">                </w:t>
            </w:r>
            <w:r>
              <w:rPr>
                <w:rFonts w:ascii="宋体" w:eastAsia="宋体" w:hAnsi="宋体"/>
                <w:b/>
                <w:sz w:val="21"/>
                <w:szCs w:val="21"/>
              </w:rPr>
              <w:t>年    月    日</w:t>
            </w:r>
          </w:p>
        </w:tc>
      </w:tr>
    </w:tbl>
    <w:p w:rsidR="00800FA1" w:rsidRDefault="00891015">
      <w:pPr>
        <w:ind w:leftChars="-600" w:rightChars="-646" w:right="-1292" w:hangingChars="500" w:hanging="1200"/>
        <w:rPr>
          <w:rFonts w:eastAsia="宋体" w:hAnsi="Times New Roman"/>
          <w:sz w:val="21"/>
          <w:szCs w:val="21"/>
        </w:rPr>
      </w:pPr>
      <w:r>
        <w:rPr>
          <w:rFonts w:ascii="等线" w:eastAsia="等线" w:hAnsi="等线" w:cs="等线" w:hint="eastAsia"/>
          <w:b/>
          <w:sz w:val="24"/>
          <w:szCs w:val="24"/>
        </w:rPr>
        <w:t xml:space="preserve">合煦智远经办人：                     </w:t>
      </w:r>
      <w:bookmarkStart w:id="0" w:name="_GoBack"/>
      <w:bookmarkEnd w:id="0"/>
      <w:r>
        <w:rPr>
          <w:rFonts w:ascii="等线" w:eastAsia="等线" w:hAnsi="等线" w:cs="等线" w:hint="eastAsia"/>
          <w:b/>
          <w:sz w:val="24"/>
          <w:szCs w:val="24"/>
        </w:rPr>
        <w:t xml:space="preserve">  合煦智远复核人：                  直销网点章：</w:t>
      </w:r>
    </w:p>
    <w:p w:rsidR="00800FA1" w:rsidRDefault="00891015">
      <w:pPr>
        <w:jc w:val="center"/>
        <w:rPr>
          <w:rFonts w:ascii="黑体" w:eastAsia="黑体" w:hAnsi="黑体" w:cs="黑体"/>
          <w:b/>
          <w:color w:val="C00000"/>
          <w:sz w:val="24"/>
          <w:szCs w:val="24"/>
        </w:rPr>
      </w:pPr>
      <w:r>
        <w:rPr>
          <w:rFonts w:ascii="黑体" w:eastAsia="黑体" w:hAnsi="黑体" w:cs="黑体" w:hint="eastAsia"/>
          <w:b/>
          <w:color w:val="C00000"/>
          <w:sz w:val="24"/>
          <w:szCs w:val="24"/>
        </w:rPr>
        <w:lastRenderedPageBreak/>
        <w:t>填表须知</w:t>
      </w:r>
    </w:p>
    <w:p w:rsidR="00800FA1" w:rsidRDefault="00800FA1">
      <w:pPr>
        <w:jc w:val="center"/>
        <w:rPr>
          <w:rFonts w:ascii="Arial" w:eastAsia="宋体" w:hAnsi="Arial" w:cs="Arial"/>
          <w:b/>
          <w:color w:val="000000" w:themeColor="text1"/>
          <w:sz w:val="21"/>
          <w:szCs w:val="21"/>
        </w:rPr>
      </w:pPr>
    </w:p>
    <w:p w:rsidR="00800FA1" w:rsidRDefault="00891015">
      <w:pPr>
        <w:ind w:leftChars="-496" w:left="-567" w:rightChars="-454" w:right="-908" w:hangingChars="236" w:hanging="425"/>
        <w:rPr>
          <w:rFonts w:ascii="Arial" w:eastAsia="宋体" w:hAnsi="Arial" w:cs="Arial"/>
          <w:color w:val="000000" w:themeColor="text1"/>
          <w:sz w:val="18"/>
          <w:szCs w:val="18"/>
        </w:rPr>
      </w:pPr>
      <w:r>
        <w:rPr>
          <w:rFonts w:ascii="Arial" w:eastAsia="宋体" w:hAnsi="Arial" w:cs="Arial"/>
          <w:color w:val="000000" w:themeColor="text1"/>
          <w:sz w:val="18"/>
          <w:szCs w:val="18"/>
        </w:rPr>
        <w:t xml:space="preserve">1. </w:t>
      </w:r>
      <w:r>
        <w:rPr>
          <w:rFonts w:ascii="Arial" w:eastAsia="宋体" w:hAnsi="Arial" w:cs="Arial"/>
          <w:color w:val="000000" w:themeColor="text1"/>
          <w:sz w:val="18"/>
          <w:szCs w:val="18"/>
        </w:rPr>
        <w:t>本表所称</w:t>
      </w:r>
      <w:r>
        <w:rPr>
          <w:rFonts w:ascii="Arial" w:eastAsia="宋体" w:hAnsi="Arial" w:cs="Arial"/>
          <w:b/>
          <w:color w:val="000000" w:themeColor="text1"/>
          <w:sz w:val="18"/>
          <w:szCs w:val="18"/>
        </w:rPr>
        <w:t>中国税收居民</w:t>
      </w:r>
      <w:r>
        <w:rPr>
          <w:rFonts w:ascii="Arial" w:eastAsia="宋体" w:hAnsi="Arial" w:cs="Arial" w:hint="eastAsia"/>
          <w:b/>
          <w:color w:val="000000" w:themeColor="text1"/>
          <w:sz w:val="18"/>
          <w:szCs w:val="18"/>
        </w:rPr>
        <w:t>，</w:t>
      </w:r>
      <w:r>
        <w:rPr>
          <w:rFonts w:ascii="Arial" w:eastAsia="宋体" w:hAnsi="Arial" w:cs="Arial"/>
          <w:color w:val="000000" w:themeColor="text1"/>
          <w:sz w:val="18"/>
          <w:szCs w:val="18"/>
        </w:rPr>
        <w:t>是指依法在中国境内成立，或者依照外国</w:t>
      </w:r>
      <w:r>
        <w:rPr>
          <w:rFonts w:ascii="Arial" w:eastAsia="宋体" w:hAnsi="Arial" w:cs="Arial"/>
          <w:color w:val="000000" w:themeColor="text1"/>
          <w:sz w:val="18"/>
          <w:szCs w:val="18"/>
        </w:rPr>
        <w:t>(</w:t>
      </w:r>
      <w:r>
        <w:rPr>
          <w:rFonts w:ascii="Arial" w:eastAsia="宋体" w:hAnsi="Arial" w:cs="Arial"/>
          <w:color w:val="000000" w:themeColor="text1"/>
          <w:sz w:val="18"/>
          <w:szCs w:val="18"/>
        </w:rPr>
        <w:t>地区</w:t>
      </w:r>
      <w:r>
        <w:rPr>
          <w:rFonts w:ascii="Arial" w:eastAsia="宋体" w:hAnsi="Arial" w:cs="Arial"/>
          <w:color w:val="000000" w:themeColor="text1"/>
          <w:sz w:val="18"/>
          <w:szCs w:val="18"/>
        </w:rPr>
        <w:t>)</w:t>
      </w:r>
      <w:r>
        <w:rPr>
          <w:rFonts w:ascii="Arial" w:eastAsia="宋体" w:hAnsi="Arial" w:cs="Arial"/>
          <w:color w:val="000000" w:themeColor="text1"/>
          <w:sz w:val="18"/>
          <w:szCs w:val="18"/>
        </w:rPr>
        <w:t>法律成立但实际管理机构在中国境内的企业和其他组织</w:t>
      </w:r>
      <w:r>
        <w:rPr>
          <w:rFonts w:ascii="Arial" w:eastAsia="宋体" w:hAnsi="Arial" w:cs="Arial" w:hint="eastAsia"/>
          <w:color w:val="000000" w:themeColor="text1"/>
          <w:sz w:val="18"/>
          <w:szCs w:val="18"/>
        </w:rPr>
        <w:t>。</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 xml:space="preserve">2. </w:t>
      </w:r>
      <w:r>
        <w:rPr>
          <w:rFonts w:ascii="Arial" w:eastAsia="宋体" w:hAnsi="Arial" w:cs="Arial"/>
          <w:color w:val="000000" w:themeColor="text1"/>
          <w:sz w:val="18"/>
          <w:szCs w:val="18"/>
        </w:rPr>
        <w:t>本表所称</w:t>
      </w:r>
      <w:r>
        <w:rPr>
          <w:rFonts w:ascii="Arial" w:eastAsia="宋体" w:hAnsi="Arial" w:cs="Arial"/>
          <w:b/>
          <w:color w:val="000000" w:themeColor="text1"/>
          <w:sz w:val="18"/>
          <w:szCs w:val="18"/>
        </w:rPr>
        <w:t>非居民</w:t>
      </w:r>
      <w:r>
        <w:rPr>
          <w:rFonts w:ascii="Arial" w:eastAsia="宋体" w:hAnsi="Arial" w:cs="Arial" w:hint="eastAsia"/>
          <w:color w:val="000000" w:themeColor="text1"/>
          <w:sz w:val="18"/>
          <w:szCs w:val="18"/>
        </w:rPr>
        <w:t>，</w:t>
      </w:r>
      <w:r>
        <w:rPr>
          <w:rFonts w:ascii="Arial" w:eastAsia="宋体" w:hAnsi="Arial" w:cs="Arial"/>
          <w:color w:val="000000" w:themeColor="text1"/>
          <w:sz w:val="18"/>
          <w:szCs w:val="18"/>
        </w:rPr>
        <w:t>是指中国税收居民以外的企业（包括其他组织），但不包括政府机构、国际组织、中央银行、金融机构或者在证券市场上市交易的公司及其关联机构。</w:t>
      </w:r>
      <w:r>
        <w:rPr>
          <w:rFonts w:ascii="Arial" w:eastAsia="宋体" w:hAnsi="Arial" w:cs="Arial" w:hint="eastAsia"/>
          <w:color w:val="000000" w:themeColor="text1"/>
          <w:sz w:val="18"/>
          <w:szCs w:val="18"/>
        </w:rPr>
        <w:t>前述证券市场是指被所在地政府认可和监管的证券市场。</w:t>
      </w:r>
      <w:r>
        <w:rPr>
          <w:rFonts w:ascii="仿宋" w:eastAsia="仿宋" w:hAnsi="仿宋" w:cs="Arial" w:hint="eastAsia"/>
          <w:color w:val="000000" w:themeColor="text1"/>
          <w:sz w:val="18"/>
          <w:szCs w:val="18"/>
        </w:rPr>
        <w:t>其他国家（地区）税收居民身份认定规则及纳税人识别号相关信息请参见国家税务总局网站（</w:t>
      </w:r>
      <w:hyperlink r:id="rId7" w:history="1">
        <w:r>
          <w:rPr>
            <w:rFonts w:ascii="仿宋" w:eastAsia="仿宋" w:hAnsi="仿宋" w:cs="Arial"/>
            <w:color w:val="000000" w:themeColor="text1"/>
            <w:sz w:val="18"/>
            <w:szCs w:val="18"/>
          </w:rPr>
          <w:t>http://www.chinatax.gov.cn/aeoi_index.html</w:t>
        </w:r>
      </w:hyperlink>
      <w:r>
        <w:rPr>
          <w:rFonts w:ascii="仿宋" w:eastAsia="仿宋" w:hAnsi="仿宋" w:cs="Arial" w:hint="eastAsia"/>
          <w:color w:val="000000" w:themeColor="text1"/>
          <w:sz w:val="18"/>
          <w:szCs w:val="18"/>
        </w:rPr>
        <w:t>）</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 xml:space="preserve">3. </w:t>
      </w:r>
      <w:r>
        <w:rPr>
          <w:rFonts w:ascii="Arial" w:eastAsia="宋体" w:hAnsi="Arial" w:cs="Arial"/>
          <w:color w:val="000000" w:themeColor="text1"/>
          <w:sz w:val="18"/>
          <w:szCs w:val="18"/>
        </w:rPr>
        <w:t>本表</w:t>
      </w:r>
      <w:r>
        <w:rPr>
          <w:rFonts w:ascii="Arial" w:eastAsia="宋体" w:hAnsi="Arial" w:cs="Arial" w:hint="eastAsia"/>
          <w:color w:val="000000" w:themeColor="text1"/>
          <w:sz w:val="18"/>
          <w:szCs w:val="18"/>
        </w:rPr>
        <w:t>所称</w:t>
      </w:r>
      <w:r>
        <w:rPr>
          <w:rFonts w:ascii="Arial" w:eastAsia="宋体" w:hAnsi="Arial" w:cs="Arial"/>
          <w:b/>
          <w:color w:val="000000" w:themeColor="text1"/>
          <w:sz w:val="18"/>
          <w:szCs w:val="18"/>
        </w:rPr>
        <w:t>豁免机构</w:t>
      </w:r>
      <w:r>
        <w:rPr>
          <w:rFonts w:ascii="Arial" w:eastAsia="宋体" w:hAnsi="Arial" w:cs="Arial" w:hint="eastAsia"/>
          <w:color w:val="000000" w:themeColor="text1"/>
          <w:sz w:val="18"/>
          <w:szCs w:val="18"/>
        </w:rPr>
        <w:t>，</w:t>
      </w:r>
      <w:r>
        <w:rPr>
          <w:rFonts w:ascii="Arial" w:eastAsia="宋体" w:hAnsi="Arial" w:cs="Arial"/>
          <w:color w:val="000000" w:themeColor="text1"/>
          <w:sz w:val="18"/>
          <w:szCs w:val="18"/>
        </w:rPr>
        <w:t>是指政府机构、国际组织、中央银行、金融机构或者在证券市场上市交易的公司及其关联机构，以及事业单位、军队、武警部队、居委会、村委会、社区委员会、社会团体等单位。</w:t>
      </w:r>
      <w:r>
        <w:rPr>
          <w:rFonts w:ascii="仿宋" w:eastAsia="仿宋" w:hAnsi="仿宋" w:cs="Arial"/>
          <w:color w:val="000000" w:themeColor="text1"/>
          <w:sz w:val="18"/>
          <w:szCs w:val="18"/>
        </w:rPr>
        <w:t>关联机构是指一个机构控制另一个机构，或者两个机构受到共同控制，则该两个机构互为关联机构。所称控制是指直接或者间接拥有机构百分之五十以上的股权和表决权</w:t>
      </w:r>
      <w:r>
        <w:rPr>
          <w:rFonts w:ascii="仿宋" w:eastAsia="仿宋" w:hAnsi="仿宋" w:cs="Arial" w:hint="eastAsia"/>
          <w:color w:val="000000" w:themeColor="text1"/>
          <w:sz w:val="18"/>
          <w:szCs w:val="18"/>
        </w:rPr>
        <w:t>。</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hint="eastAsia"/>
          <w:color w:val="000000" w:themeColor="text1"/>
          <w:sz w:val="18"/>
          <w:szCs w:val="18"/>
        </w:rPr>
        <w:t xml:space="preserve">4. </w:t>
      </w:r>
      <w:r>
        <w:rPr>
          <w:rFonts w:ascii="Arial" w:eastAsia="宋体" w:hAnsi="Arial" w:cs="Arial" w:hint="eastAsia"/>
          <w:color w:val="000000" w:themeColor="text1"/>
          <w:sz w:val="18"/>
          <w:szCs w:val="18"/>
        </w:rPr>
        <w:t>据国家税务总局发布的《非居民金融账户涉税信息尽职调查管理办法》规定，</w:t>
      </w:r>
      <w:r>
        <w:rPr>
          <w:rFonts w:ascii="Arial" w:eastAsia="宋体" w:hAnsi="Arial" w:cs="Arial"/>
          <w:b/>
          <w:color w:val="000000" w:themeColor="text1"/>
          <w:sz w:val="18"/>
          <w:szCs w:val="18"/>
        </w:rPr>
        <w:t>下列机构属于金融机构</w:t>
      </w:r>
      <w:r>
        <w:rPr>
          <w:rFonts w:ascii="Arial" w:eastAsia="宋体" w:hAnsi="Arial" w:cs="Arial"/>
          <w:color w:val="000000" w:themeColor="text1"/>
          <w:sz w:val="18"/>
          <w:szCs w:val="18"/>
        </w:rPr>
        <w:t>：</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color w:val="000000" w:themeColor="text1"/>
          <w:sz w:val="18"/>
          <w:szCs w:val="18"/>
        </w:rPr>
        <w:t>1</w:t>
      </w:r>
      <w:r>
        <w:rPr>
          <w:rFonts w:ascii="Arial" w:eastAsia="宋体" w:hAnsi="Arial" w:cs="Arial"/>
          <w:color w:val="000000" w:themeColor="text1"/>
          <w:sz w:val="18"/>
          <w:szCs w:val="18"/>
        </w:rPr>
        <w:t>）商业银行、农村信用合作社等吸收公众存款的金融机构以及政策性银行；</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color w:val="000000" w:themeColor="text1"/>
          <w:sz w:val="18"/>
          <w:szCs w:val="18"/>
        </w:rPr>
        <w:t>2</w:t>
      </w:r>
      <w:r>
        <w:rPr>
          <w:rFonts w:ascii="Arial" w:eastAsia="宋体" w:hAnsi="Arial" w:cs="Arial"/>
          <w:color w:val="000000" w:themeColor="text1"/>
          <w:sz w:val="18"/>
          <w:szCs w:val="18"/>
        </w:rPr>
        <w:t>）证券公司；</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color w:val="000000" w:themeColor="text1"/>
          <w:sz w:val="18"/>
          <w:szCs w:val="18"/>
        </w:rPr>
        <w:t>3</w:t>
      </w:r>
      <w:r>
        <w:rPr>
          <w:rFonts w:ascii="Arial" w:eastAsia="宋体" w:hAnsi="Arial" w:cs="Arial"/>
          <w:color w:val="000000" w:themeColor="text1"/>
          <w:sz w:val="18"/>
          <w:szCs w:val="18"/>
        </w:rPr>
        <w:t>）期货公司；</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color w:val="000000" w:themeColor="text1"/>
          <w:sz w:val="18"/>
          <w:szCs w:val="18"/>
        </w:rPr>
        <w:t>4</w:t>
      </w:r>
      <w:r>
        <w:rPr>
          <w:rFonts w:ascii="Arial" w:eastAsia="宋体" w:hAnsi="Arial" w:cs="Arial"/>
          <w:color w:val="000000" w:themeColor="text1"/>
          <w:sz w:val="18"/>
          <w:szCs w:val="18"/>
        </w:rPr>
        <w:t>）证券投资基金管理公司、私募基金管理公司、从事私募基金管理业务的合伙企业；</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color w:val="000000" w:themeColor="text1"/>
          <w:sz w:val="18"/>
          <w:szCs w:val="18"/>
        </w:rPr>
        <w:t>5</w:t>
      </w:r>
      <w:r>
        <w:rPr>
          <w:rFonts w:ascii="Arial" w:eastAsia="宋体" w:hAnsi="Arial" w:cs="Arial"/>
          <w:color w:val="000000" w:themeColor="text1"/>
          <w:sz w:val="18"/>
          <w:szCs w:val="18"/>
        </w:rPr>
        <w:t>）开展有现金价值的保险或者年金业务的保险公司、保险资产管理公司；</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color w:val="000000" w:themeColor="text1"/>
          <w:sz w:val="18"/>
          <w:szCs w:val="18"/>
        </w:rPr>
        <w:t>6</w:t>
      </w:r>
      <w:r>
        <w:rPr>
          <w:rFonts w:ascii="Arial" w:eastAsia="宋体" w:hAnsi="Arial" w:cs="Arial"/>
          <w:color w:val="000000" w:themeColor="text1"/>
          <w:sz w:val="18"/>
          <w:szCs w:val="18"/>
        </w:rPr>
        <w:t>）信托公司；</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color w:val="000000" w:themeColor="text1"/>
          <w:sz w:val="18"/>
          <w:szCs w:val="18"/>
        </w:rPr>
        <w:t>7</w:t>
      </w:r>
      <w:r>
        <w:rPr>
          <w:rFonts w:ascii="Arial" w:eastAsia="宋体" w:hAnsi="Arial" w:cs="Arial"/>
          <w:color w:val="000000" w:themeColor="text1"/>
          <w:sz w:val="18"/>
          <w:szCs w:val="18"/>
        </w:rPr>
        <w:t>）其他符合条件的机构。</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5.</w:t>
      </w:r>
      <w:r>
        <w:rPr>
          <w:rFonts w:ascii="Arial" w:eastAsia="宋体" w:hAnsi="Arial" w:cs="Arial" w:hint="eastAsia"/>
          <w:color w:val="000000" w:themeColor="text1"/>
          <w:sz w:val="18"/>
          <w:szCs w:val="18"/>
        </w:rPr>
        <w:t xml:space="preserve"> </w:t>
      </w:r>
      <w:r>
        <w:rPr>
          <w:rFonts w:ascii="Arial" w:eastAsia="宋体" w:hAnsi="Arial" w:cs="Arial" w:hint="eastAsia"/>
          <w:color w:val="000000" w:themeColor="text1"/>
          <w:sz w:val="18"/>
          <w:szCs w:val="18"/>
        </w:rPr>
        <w:t>根据国家税务总局发布的《非居民金融账户涉税信息尽职调查管理办法》规定，</w:t>
      </w:r>
      <w:r>
        <w:rPr>
          <w:rFonts w:ascii="Arial" w:eastAsia="宋体" w:hAnsi="Arial" w:cs="Arial"/>
          <w:b/>
          <w:color w:val="000000" w:themeColor="text1"/>
          <w:sz w:val="18"/>
          <w:szCs w:val="18"/>
        </w:rPr>
        <w:t>下列机构不属于金融机构</w:t>
      </w:r>
      <w:r>
        <w:rPr>
          <w:rFonts w:ascii="Arial" w:eastAsia="宋体" w:hAnsi="Arial" w:cs="Arial"/>
          <w:color w:val="000000" w:themeColor="text1"/>
          <w:sz w:val="18"/>
          <w:szCs w:val="18"/>
        </w:rPr>
        <w:t>：</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hint="eastAsia"/>
          <w:color w:val="000000" w:themeColor="text1"/>
          <w:sz w:val="18"/>
          <w:szCs w:val="18"/>
        </w:rPr>
        <w:t>1</w:t>
      </w:r>
      <w:r>
        <w:rPr>
          <w:rFonts w:ascii="Arial" w:eastAsia="宋体" w:hAnsi="Arial" w:cs="Arial"/>
          <w:color w:val="000000" w:themeColor="text1"/>
          <w:sz w:val="18"/>
          <w:szCs w:val="18"/>
        </w:rPr>
        <w:t>）金融资产管理公司；</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hint="eastAsia"/>
          <w:color w:val="000000" w:themeColor="text1"/>
          <w:sz w:val="18"/>
          <w:szCs w:val="18"/>
        </w:rPr>
        <w:t>2</w:t>
      </w:r>
      <w:r>
        <w:rPr>
          <w:rFonts w:ascii="Arial" w:eastAsia="宋体" w:hAnsi="Arial" w:cs="Arial"/>
          <w:color w:val="000000" w:themeColor="text1"/>
          <w:sz w:val="18"/>
          <w:szCs w:val="18"/>
        </w:rPr>
        <w:t>）财务公司；</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hint="eastAsia"/>
          <w:color w:val="000000" w:themeColor="text1"/>
          <w:sz w:val="18"/>
          <w:szCs w:val="18"/>
        </w:rPr>
        <w:t>3</w:t>
      </w:r>
      <w:r>
        <w:rPr>
          <w:rFonts w:ascii="Arial" w:eastAsia="宋体" w:hAnsi="Arial" w:cs="Arial"/>
          <w:color w:val="000000" w:themeColor="text1"/>
          <w:sz w:val="18"/>
          <w:szCs w:val="18"/>
        </w:rPr>
        <w:t>）金融租赁公司；</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hint="eastAsia"/>
          <w:color w:val="000000" w:themeColor="text1"/>
          <w:sz w:val="18"/>
          <w:szCs w:val="18"/>
        </w:rPr>
        <w:t>4</w:t>
      </w:r>
      <w:r>
        <w:rPr>
          <w:rFonts w:ascii="Arial" w:eastAsia="宋体" w:hAnsi="Arial" w:cs="Arial"/>
          <w:color w:val="000000" w:themeColor="text1"/>
          <w:sz w:val="18"/>
          <w:szCs w:val="18"/>
        </w:rPr>
        <w:t>）汽车金融公司；</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hint="eastAsia"/>
          <w:color w:val="000000" w:themeColor="text1"/>
          <w:sz w:val="18"/>
          <w:szCs w:val="18"/>
        </w:rPr>
        <w:t>5</w:t>
      </w:r>
      <w:r>
        <w:rPr>
          <w:rFonts w:ascii="Arial" w:eastAsia="宋体" w:hAnsi="Arial" w:cs="Arial"/>
          <w:color w:val="000000" w:themeColor="text1"/>
          <w:sz w:val="18"/>
          <w:szCs w:val="18"/>
        </w:rPr>
        <w:t>）消费金融公司；</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hint="eastAsia"/>
          <w:color w:val="000000" w:themeColor="text1"/>
          <w:sz w:val="18"/>
          <w:szCs w:val="18"/>
        </w:rPr>
        <w:t>6</w:t>
      </w:r>
      <w:r>
        <w:rPr>
          <w:rFonts w:ascii="Arial" w:eastAsia="宋体" w:hAnsi="Arial" w:cs="Arial"/>
          <w:color w:val="000000" w:themeColor="text1"/>
          <w:sz w:val="18"/>
          <w:szCs w:val="18"/>
        </w:rPr>
        <w:t>）货币经纪公司；</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hint="eastAsia"/>
          <w:color w:val="000000" w:themeColor="text1"/>
          <w:sz w:val="18"/>
          <w:szCs w:val="18"/>
        </w:rPr>
        <w:t>7</w:t>
      </w:r>
      <w:r>
        <w:rPr>
          <w:rFonts w:ascii="Arial" w:eastAsia="宋体" w:hAnsi="Arial" w:cs="Arial"/>
          <w:color w:val="000000" w:themeColor="text1"/>
          <w:sz w:val="18"/>
          <w:szCs w:val="18"/>
        </w:rPr>
        <w:t>）证券登记结算机构；</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hint="eastAsia"/>
          <w:color w:val="000000" w:themeColor="text1"/>
          <w:sz w:val="18"/>
          <w:szCs w:val="18"/>
        </w:rPr>
        <w:t>8</w:t>
      </w:r>
      <w:r>
        <w:rPr>
          <w:rFonts w:ascii="Arial" w:eastAsia="宋体" w:hAnsi="Arial" w:cs="Arial"/>
          <w:color w:val="000000" w:themeColor="text1"/>
          <w:sz w:val="18"/>
          <w:szCs w:val="18"/>
        </w:rPr>
        <w:t>）其他不符合条件的机构。</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 xml:space="preserve">6. </w:t>
      </w:r>
      <w:r>
        <w:rPr>
          <w:rFonts w:ascii="Arial" w:eastAsia="宋体" w:hAnsi="Arial" w:cs="Arial"/>
          <w:color w:val="000000" w:themeColor="text1"/>
          <w:sz w:val="18"/>
          <w:szCs w:val="18"/>
        </w:rPr>
        <w:t>本表所称</w:t>
      </w:r>
      <w:r>
        <w:rPr>
          <w:rFonts w:ascii="Arial" w:eastAsia="宋体" w:hAnsi="Arial" w:cs="Arial"/>
          <w:b/>
          <w:color w:val="000000" w:themeColor="text1"/>
          <w:sz w:val="18"/>
          <w:szCs w:val="18"/>
        </w:rPr>
        <w:t>消极非金融机构</w:t>
      </w:r>
      <w:r>
        <w:rPr>
          <w:rFonts w:ascii="Arial" w:eastAsia="宋体" w:hAnsi="Arial" w:cs="Arial" w:hint="eastAsia"/>
          <w:color w:val="000000" w:themeColor="text1"/>
          <w:sz w:val="18"/>
          <w:szCs w:val="18"/>
        </w:rPr>
        <w:t>，</w:t>
      </w:r>
      <w:r>
        <w:rPr>
          <w:rFonts w:ascii="Arial" w:eastAsia="宋体" w:hAnsi="Arial" w:cs="Arial"/>
          <w:color w:val="000000" w:themeColor="text1"/>
          <w:sz w:val="18"/>
          <w:szCs w:val="18"/>
        </w:rPr>
        <w:t>是指符合下列条件之一的机构：</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color w:val="000000" w:themeColor="text1"/>
          <w:sz w:val="18"/>
          <w:szCs w:val="18"/>
        </w:rPr>
        <w:t>1</w:t>
      </w:r>
      <w:r>
        <w:rPr>
          <w:rFonts w:ascii="Arial" w:eastAsia="宋体" w:hAnsi="Arial" w:cs="Arial"/>
          <w:color w:val="000000" w:themeColor="text1"/>
          <w:sz w:val="18"/>
          <w:szCs w:val="18"/>
        </w:rPr>
        <w:t>）上一公历年度内，股息、利息、租金、特许权使用费收入等不属于积极经营活动的收入，以及据以产生前述收入的金融资产的转让收入占总收入比重百分之五十以上的非金融机构；</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color w:val="000000" w:themeColor="text1"/>
          <w:sz w:val="18"/>
          <w:szCs w:val="18"/>
        </w:rPr>
        <w:t>2</w:t>
      </w:r>
      <w:r>
        <w:rPr>
          <w:rFonts w:ascii="Arial" w:eastAsia="宋体" w:hAnsi="Arial" w:cs="Arial"/>
          <w:color w:val="000000" w:themeColor="text1"/>
          <w:sz w:val="18"/>
          <w:szCs w:val="18"/>
        </w:rPr>
        <w:t>）上一公历年度末，拥有可以产生本款第一项所述收入的金融资产占总资产比重百分之五十以上的非金融机构；</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color w:val="000000" w:themeColor="text1"/>
          <w:sz w:val="18"/>
          <w:szCs w:val="18"/>
        </w:rPr>
        <w:t>3</w:t>
      </w:r>
      <w:r>
        <w:rPr>
          <w:rFonts w:ascii="Arial" w:eastAsia="宋体" w:hAnsi="Arial" w:cs="Arial"/>
          <w:color w:val="000000" w:themeColor="text1"/>
          <w:sz w:val="18"/>
          <w:szCs w:val="18"/>
        </w:rPr>
        <w:t>）税收居民国（地区）不实施金融账户涉税信息自动交换标准的投资机构。</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hint="eastAsia"/>
          <w:color w:val="000000" w:themeColor="text1"/>
          <w:sz w:val="18"/>
          <w:szCs w:val="18"/>
        </w:rPr>
        <w:t>7</w:t>
      </w:r>
      <w:r>
        <w:rPr>
          <w:rFonts w:ascii="Arial" w:eastAsia="宋体" w:hAnsi="Arial" w:cs="Arial"/>
          <w:color w:val="000000" w:themeColor="text1"/>
          <w:sz w:val="18"/>
          <w:szCs w:val="18"/>
        </w:rPr>
        <w:t>.</w:t>
      </w:r>
      <w:r>
        <w:rPr>
          <w:rFonts w:ascii="Arial" w:eastAsia="宋体" w:hAnsi="Arial" w:cs="Arial" w:hint="eastAsia"/>
          <w:color w:val="000000" w:themeColor="text1"/>
          <w:sz w:val="18"/>
          <w:szCs w:val="18"/>
        </w:rPr>
        <w:t xml:space="preserve"> </w:t>
      </w:r>
      <w:r>
        <w:rPr>
          <w:rFonts w:ascii="Arial" w:eastAsia="宋体" w:hAnsi="Arial" w:cs="Arial"/>
          <w:b/>
          <w:color w:val="000000" w:themeColor="text1"/>
          <w:sz w:val="18"/>
          <w:szCs w:val="18"/>
        </w:rPr>
        <w:t>下列非金融机构不属于消极非金融机构</w:t>
      </w:r>
      <w:r>
        <w:rPr>
          <w:rFonts w:ascii="Arial" w:eastAsia="宋体" w:hAnsi="Arial" w:cs="Arial"/>
          <w:color w:val="000000" w:themeColor="text1"/>
          <w:sz w:val="18"/>
          <w:szCs w:val="18"/>
        </w:rPr>
        <w:t>：</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hint="eastAsia"/>
          <w:color w:val="000000" w:themeColor="text1"/>
          <w:sz w:val="18"/>
          <w:szCs w:val="18"/>
        </w:rPr>
        <w:t>1</w:t>
      </w:r>
      <w:r>
        <w:rPr>
          <w:rFonts w:ascii="Arial" w:eastAsia="宋体" w:hAnsi="Arial" w:cs="Arial"/>
          <w:color w:val="000000" w:themeColor="text1"/>
          <w:sz w:val="18"/>
          <w:szCs w:val="18"/>
        </w:rPr>
        <w:t>）上市公司及其关联机构；</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hint="eastAsia"/>
          <w:color w:val="000000" w:themeColor="text1"/>
          <w:sz w:val="18"/>
          <w:szCs w:val="18"/>
        </w:rPr>
        <w:t>2</w:t>
      </w:r>
      <w:r>
        <w:rPr>
          <w:rFonts w:ascii="Arial" w:eastAsia="宋体" w:hAnsi="Arial" w:cs="Arial"/>
          <w:color w:val="000000" w:themeColor="text1"/>
          <w:sz w:val="18"/>
          <w:szCs w:val="18"/>
        </w:rPr>
        <w:t>）政府机构或者履行公共服务职能的机构；</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hint="eastAsia"/>
          <w:color w:val="000000" w:themeColor="text1"/>
          <w:sz w:val="18"/>
          <w:szCs w:val="18"/>
        </w:rPr>
        <w:t>3</w:t>
      </w:r>
      <w:r>
        <w:rPr>
          <w:rFonts w:ascii="Arial" w:eastAsia="宋体" w:hAnsi="Arial" w:cs="Arial"/>
          <w:color w:val="000000" w:themeColor="text1"/>
          <w:sz w:val="18"/>
          <w:szCs w:val="18"/>
        </w:rPr>
        <w:t>）仅为了持有非金融机构股权或者向其提供融资和服务而设立的控股公司；</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hint="eastAsia"/>
          <w:color w:val="000000" w:themeColor="text1"/>
          <w:sz w:val="18"/>
          <w:szCs w:val="18"/>
        </w:rPr>
        <w:t>4</w:t>
      </w:r>
      <w:r>
        <w:rPr>
          <w:rFonts w:ascii="Arial" w:eastAsia="宋体" w:hAnsi="Arial" w:cs="Arial"/>
          <w:color w:val="000000" w:themeColor="text1"/>
          <w:sz w:val="18"/>
          <w:szCs w:val="18"/>
        </w:rPr>
        <w:t>）成立时间不足二十四个月且尚未开展业务的企业；</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hint="eastAsia"/>
          <w:color w:val="000000" w:themeColor="text1"/>
          <w:sz w:val="18"/>
          <w:szCs w:val="18"/>
        </w:rPr>
        <w:t>5</w:t>
      </w:r>
      <w:r>
        <w:rPr>
          <w:rFonts w:ascii="Arial" w:eastAsia="宋体" w:hAnsi="Arial" w:cs="Arial"/>
          <w:color w:val="000000" w:themeColor="text1"/>
          <w:sz w:val="18"/>
          <w:szCs w:val="18"/>
        </w:rPr>
        <w:t>）正处于资产清算或者重组过程中的企业；</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hint="eastAsia"/>
          <w:color w:val="000000" w:themeColor="text1"/>
          <w:sz w:val="18"/>
          <w:szCs w:val="18"/>
        </w:rPr>
        <w:t>6</w:t>
      </w:r>
      <w:r>
        <w:rPr>
          <w:rFonts w:ascii="Arial" w:eastAsia="宋体" w:hAnsi="Arial" w:cs="Arial"/>
          <w:color w:val="000000" w:themeColor="text1"/>
          <w:sz w:val="18"/>
          <w:szCs w:val="18"/>
        </w:rPr>
        <w:t>）仅与本集团（该集团内机构均为非金融机构）内关联机构开展融资或者对冲交易的企业；</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w:t>
      </w:r>
      <w:r>
        <w:rPr>
          <w:rFonts w:ascii="Arial" w:eastAsia="宋体" w:hAnsi="Arial" w:cs="Arial" w:hint="eastAsia"/>
          <w:color w:val="000000" w:themeColor="text1"/>
          <w:sz w:val="18"/>
          <w:szCs w:val="18"/>
        </w:rPr>
        <w:t>7</w:t>
      </w:r>
      <w:r>
        <w:rPr>
          <w:rFonts w:ascii="Arial" w:eastAsia="宋体" w:hAnsi="Arial" w:cs="Arial"/>
          <w:color w:val="000000" w:themeColor="text1"/>
          <w:sz w:val="18"/>
          <w:szCs w:val="18"/>
        </w:rPr>
        <w:t>）非营利组织。</w:t>
      </w:r>
    </w:p>
    <w:p w:rsidR="00800FA1" w:rsidRDefault="00891015">
      <w:pPr>
        <w:ind w:leftChars="-497" w:left="-994" w:rightChars="-454" w:right="-908"/>
        <w:rPr>
          <w:rFonts w:ascii="仿宋" w:eastAsia="仿宋" w:hAnsi="仿宋"/>
        </w:rPr>
      </w:pPr>
      <w:r>
        <w:rPr>
          <w:rFonts w:ascii="仿宋" w:eastAsia="仿宋" w:hAnsi="仿宋" w:cs="Arial" w:hint="eastAsia"/>
          <w:color w:val="000000" w:themeColor="text1"/>
          <w:sz w:val="18"/>
          <w:szCs w:val="18"/>
        </w:rPr>
        <w:t>★</w:t>
      </w:r>
      <w:r>
        <w:rPr>
          <w:rFonts w:ascii="仿宋" w:eastAsia="仿宋" w:hAnsi="仿宋" w:cs="Arial"/>
          <w:color w:val="000000" w:themeColor="text1"/>
          <w:sz w:val="18"/>
          <w:szCs w:val="18"/>
        </w:rPr>
        <w:t>实施金融账户涉税信息自动交换标准的国家（地区）名单请参见国家税务总局网站</w:t>
      </w:r>
      <w:r>
        <w:rPr>
          <w:rFonts w:ascii="仿宋" w:eastAsia="仿宋" w:hAnsi="仿宋" w:cs="Arial" w:hint="eastAsia"/>
          <w:color w:val="000000" w:themeColor="text1"/>
          <w:sz w:val="18"/>
          <w:szCs w:val="18"/>
        </w:rPr>
        <w:t>（</w:t>
      </w:r>
      <w:hyperlink r:id="rId8" w:history="1">
        <w:r>
          <w:rPr>
            <w:rFonts w:ascii="仿宋" w:eastAsia="仿宋" w:hAnsi="仿宋"/>
          </w:rPr>
          <w:t>www.chinatax.gov.cn/aeoi_index.html</w:t>
        </w:r>
      </w:hyperlink>
      <w:r>
        <w:rPr>
          <w:rFonts w:ascii="仿宋" w:eastAsia="仿宋" w:hAnsi="仿宋" w:hint="eastAsia"/>
        </w:rPr>
        <w:t>）</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color w:val="000000" w:themeColor="text1"/>
          <w:sz w:val="18"/>
          <w:szCs w:val="18"/>
        </w:rPr>
        <w:t xml:space="preserve">8. </w:t>
      </w:r>
      <w:r>
        <w:rPr>
          <w:rFonts w:ascii="Arial" w:eastAsia="宋体" w:hAnsi="Arial" w:cs="Arial"/>
          <w:color w:val="000000" w:themeColor="text1"/>
          <w:sz w:val="18"/>
          <w:szCs w:val="18"/>
        </w:rPr>
        <w:t>本表所称</w:t>
      </w:r>
      <w:r>
        <w:rPr>
          <w:rFonts w:ascii="Arial" w:eastAsia="宋体" w:hAnsi="Arial" w:cs="Arial"/>
          <w:b/>
          <w:color w:val="000000" w:themeColor="text1"/>
          <w:sz w:val="18"/>
          <w:szCs w:val="18"/>
        </w:rPr>
        <w:t>控制人</w:t>
      </w:r>
      <w:r>
        <w:rPr>
          <w:rFonts w:ascii="Arial" w:eastAsia="宋体" w:hAnsi="Arial" w:cs="Arial" w:hint="eastAsia"/>
          <w:color w:val="000000" w:themeColor="text1"/>
          <w:sz w:val="18"/>
          <w:szCs w:val="18"/>
        </w:rPr>
        <w:t>，</w:t>
      </w:r>
      <w:r>
        <w:rPr>
          <w:rFonts w:ascii="Arial" w:eastAsia="宋体" w:hAnsi="Arial" w:cs="Arial"/>
          <w:color w:val="000000" w:themeColor="text1"/>
          <w:sz w:val="18"/>
          <w:szCs w:val="18"/>
        </w:rPr>
        <w:t>是指对某一机构实施控制的个人。</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hint="eastAsia"/>
          <w:color w:val="000000" w:themeColor="text1"/>
          <w:sz w:val="18"/>
          <w:szCs w:val="18"/>
        </w:rPr>
        <w:t>（</w:t>
      </w:r>
      <w:r>
        <w:rPr>
          <w:rFonts w:ascii="Arial" w:eastAsia="宋体" w:hAnsi="Arial" w:cs="Arial" w:hint="eastAsia"/>
          <w:color w:val="000000" w:themeColor="text1"/>
          <w:sz w:val="18"/>
          <w:szCs w:val="18"/>
        </w:rPr>
        <w:t>1</w:t>
      </w:r>
      <w:r>
        <w:rPr>
          <w:rFonts w:ascii="Arial" w:eastAsia="宋体" w:hAnsi="Arial" w:cs="Arial" w:hint="eastAsia"/>
          <w:color w:val="000000" w:themeColor="text1"/>
          <w:sz w:val="18"/>
          <w:szCs w:val="18"/>
        </w:rPr>
        <w:t>）</w:t>
      </w:r>
      <w:r>
        <w:rPr>
          <w:rFonts w:ascii="Arial" w:eastAsia="宋体" w:hAnsi="Arial" w:cs="Arial"/>
          <w:color w:val="000000" w:themeColor="text1"/>
          <w:sz w:val="18"/>
          <w:szCs w:val="18"/>
          <w:u w:val="single"/>
        </w:rPr>
        <w:t>公司的控制人</w:t>
      </w:r>
      <w:r>
        <w:rPr>
          <w:rFonts w:ascii="Arial" w:eastAsia="宋体" w:hAnsi="Arial" w:cs="Arial"/>
          <w:color w:val="000000" w:themeColor="text1"/>
          <w:sz w:val="18"/>
          <w:szCs w:val="18"/>
        </w:rPr>
        <w:t>按照以下规则</w:t>
      </w:r>
      <w:r>
        <w:rPr>
          <w:rFonts w:ascii="Arial" w:eastAsia="宋体" w:hAnsi="Arial" w:cs="Arial"/>
          <w:b/>
          <w:color w:val="000000" w:themeColor="text1"/>
          <w:sz w:val="18"/>
          <w:szCs w:val="18"/>
        </w:rPr>
        <w:t>依次判定</w:t>
      </w:r>
      <w:r>
        <w:rPr>
          <w:rFonts w:ascii="Arial" w:eastAsia="宋体" w:hAnsi="Arial" w:cs="Arial"/>
          <w:color w:val="000000" w:themeColor="text1"/>
          <w:sz w:val="18"/>
          <w:szCs w:val="18"/>
        </w:rPr>
        <w:t>：</w:t>
      </w:r>
      <w:r>
        <w:rPr>
          <w:rFonts w:ascii="Arial" w:eastAsia="宋体" w:hAnsi="Arial" w:cs="Arial" w:hint="eastAsia"/>
          <w:color w:val="000000" w:themeColor="text1"/>
          <w:sz w:val="18"/>
          <w:szCs w:val="18"/>
        </w:rPr>
        <w:t>①</w:t>
      </w:r>
      <w:r>
        <w:rPr>
          <w:rFonts w:ascii="Arial" w:eastAsia="宋体" w:hAnsi="Arial" w:cs="Arial"/>
          <w:color w:val="000000" w:themeColor="text1"/>
          <w:sz w:val="18"/>
          <w:szCs w:val="18"/>
        </w:rPr>
        <w:t>直接或者间接拥有超过</w:t>
      </w:r>
      <w:r>
        <w:rPr>
          <w:rFonts w:ascii="Arial" w:eastAsia="宋体" w:hAnsi="Arial" w:cs="Arial" w:hint="eastAsia"/>
          <w:color w:val="000000" w:themeColor="text1"/>
          <w:sz w:val="18"/>
          <w:szCs w:val="18"/>
        </w:rPr>
        <w:t>2</w:t>
      </w:r>
      <w:r>
        <w:rPr>
          <w:rFonts w:ascii="Arial" w:eastAsia="宋体" w:hAnsi="Arial" w:cs="Arial"/>
          <w:color w:val="000000" w:themeColor="text1"/>
          <w:sz w:val="18"/>
          <w:szCs w:val="18"/>
        </w:rPr>
        <w:t>5</w:t>
      </w:r>
      <w:r>
        <w:rPr>
          <w:rFonts w:ascii="Arial" w:eastAsia="宋体" w:hAnsi="Arial" w:cs="Arial" w:hint="eastAsia"/>
          <w:color w:val="000000" w:themeColor="text1"/>
          <w:sz w:val="18"/>
          <w:szCs w:val="18"/>
        </w:rPr>
        <w:t>%</w:t>
      </w:r>
      <w:r>
        <w:rPr>
          <w:rFonts w:ascii="Arial" w:eastAsia="宋体" w:hAnsi="Arial" w:cs="Arial"/>
          <w:color w:val="000000" w:themeColor="text1"/>
          <w:sz w:val="18"/>
          <w:szCs w:val="18"/>
        </w:rPr>
        <w:t>公司股权或者表决权的个人；</w:t>
      </w:r>
      <w:r>
        <w:rPr>
          <w:rFonts w:ascii="Arial" w:eastAsia="宋体" w:hAnsi="Arial" w:cs="Arial" w:hint="eastAsia"/>
          <w:color w:val="000000" w:themeColor="text1"/>
          <w:sz w:val="18"/>
          <w:szCs w:val="18"/>
        </w:rPr>
        <w:t>②</w:t>
      </w:r>
      <w:r>
        <w:rPr>
          <w:rFonts w:ascii="Arial" w:eastAsia="宋体" w:hAnsi="Arial" w:cs="Arial"/>
          <w:color w:val="000000" w:themeColor="text1"/>
          <w:sz w:val="18"/>
          <w:szCs w:val="18"/>
        </w:rPr>
        <w:t>通过人事、财务等其他方式对公司进行控制的个人；</w:t>
      </w:r>
      <w:r>
        <w:rPr>
          <w:rFonts w:ascii="Arial" w:eastAsia="宋体" w:hAnsi="Arial" w:cs="Arial" w:hint="eastAsia"/>
          <w:color w:val="000000" w:themeColor="text1"/>
          <w:sz w:val="18"/>
          <w:szCs w:val="18"/>
        </w:rPr>
        <w:t>③</w:t>
      </w:r>
      <w:r>
        <w:rPr>
          <w:rFonts w:ascii="Arial" w:eastAsia="宋体" w:hAnsi="Arial" w:cs="Arial"/>
          <w:color w:val="000000" w:themeColor="text1"/>
          <w:sz w:val="18"/>
          <w:szCs w:val="18"/>
        </w:rPr>
        <w:t>公司的高级管理人员。</w:t>
      </w:r>
    </w:p>
    <w:p w:rsidR="00800FA1" w:rsidRDefault="00891015">
      <w:pPr>
        <w:ind w:leftChars="-497" w:left="-994" w:rightChars="-454" w:right="-908"/>
        <w:rPr>
          <w:rFonts w:ascii="Arial" w:eastAsia="宋体" w:hAnsi="Arial" w:cs="Arial"/>
          <w:color w:val="000000" w:themeColor="text1"/>
          <w:sz w:val="18"/>
          <w:szCs w:val="18"/>
        </w:rPr>
      </w:pPr>
      <w:r>
        <w:rPr>
          <w:rFonts w:ascii="Arial" w:eastAsia="宋体" w:hAnsi="Arial" w:cs="Arial" w:hint="eastAsia"/>
          <w:color w:val="000000" w:themeColor="text1"/>
          <w:sz w:val="18"/>
          <w:szCs w:val="18"/>
        </w:rPr>
        <w:t>（</w:t>
      </w:r>
      <w:r>
        <w:rPr>
          <w:rFonts w:ascii="Arial" w:eastAsia="宋体" w:hAnsi="Arial" w:cs="Arial" w:hint="eastAsia"/>
          <w:color w:val="000000" w:themeColor="text1"/>
          <w:sz w:val="18"/>
          <w:szCs w:val="18"/>
        </w:rPr>
        <w:t>2</w:t>
      </w:r>
      <w:r>
        <w:rPr>
          <w:rFonts w:ascii="Arial" w:eastAsia="宋体" w:hAnsi="Arial" w:cs="Arial" w:hint="eastAsia"/>
          <w:color w:val="000000" w:themeColor="text1"/>
          <w:sz w:val="18"/>
          <w:szCs w:val="18"/>
        </w:rPr>
        <w:t>）</w:t>
      </w:r>
      <w:r>
        <w:rPr>
          <w:rFonts w:ascii="Arial" w:eastAsia="宋体" w:hAnsi="Arial" w:cs="Arial"/>
          <w:color w:val="000000" w:themeColor="text1"/>
          <w:sz w:val="18"/>
          <w:szCs w:val="18"/>
          <w:u w:val="single"/>
        </w:rPr>
        <w:t>合伙企业的控制人</w:t>
      </w:r>
      <w:r>
        <w:rPr>
          <w:rFonts w:ascii="Arial" w:eastAsia="宋体" w:hAnsi="Arial" w:cs="Arial"/>
          <w:color w:val="000000" w:themeColor="text1"/>
          <w:sz w:val="18"/>
          <w:szCs w:val="18"/>
        </w:rPr>
        <w:t>是拥有超过</w:t>
      </w:r>
      <w:r>
        <w:rPr>
          <w:rFonts w:ascii="Arial" w:eastAsia="宋体" w:hAnsi="Arial" w:cs="Arial" w:hint="eastAsia"/>
          <w:color w:val="000000" w:themeColor="text1"/>
          <w:sz w:val="18"/>
          <w:szCs w:val="18"/>
        </w:rPr>
        <w:t>2</w:t>
      </w:r>
      <w:r>
        <w:rPr>
          <w:rFonts w:ascii="Arial" w:eastAsia="宋体" w:hAnsi="Arial" w:cs="Arial"/>
          <w:color w:val="000000" w:themeColor="text1"/>
          <w:sz w:val="18"/>
          <w:szCs w:val="18"/>
        </w:rPr>
        <w:t>5</w:t>
      </w:r>
      <w:r>
        <w:rPr>
          <w:rFonts w:ascii="Arial" w:eastAsia="宋体" w:hAnsi="Arial" w:cs="Arial" w:hint="eastAsia"/>
          <w:color w:val="000000" w:themeColor="text1"/>
          <w:sz w:val="18"/>
          <w:szCs w:val="18"/>
        </w:rPr>
        <w:t>%</w:t>
      </w:r>
      <w:r>
        <w:rPr>
          <w:rFonts w:ascii="Arial" w:eastAsia="宋体" w:hAnsi="Arial" w:cs="Arial"/>
          <w:color w:val="000000" w:themeColor="text1"/>
          <w:sz w:val="18"/>
          <w:szCs w:val="18"/>
        </w:rPr>
        <w:t>合伙权益的个人。</w:t>
      </w:r>
      <w:r>
        <w:rPr>
          <w:rFonts w:ascii="Arial" w:eastAsia="宋体" w:hAnsi="Arial" w:cs="Arial"/>
          <w:color w:val="000000" w:themeColor="text1"/>
          <w:sz w:val="18"/>
          <w:szCs w:val="18"/>
          <w:u w:val="single"/>
        </w:rPr>
        <w:t>信托的控制人</w:t>
      </w:r>
      <w:r>
        <w:rPr>
          <w:rFonts w:ascii="Arial" w:eastAsia="宋体" w:hAnsi="Arial" w:cs="Arial"/>
          <w:color w:val="000000" w:themeColor="text1"/>
          <w:sz w:val="18"/>
          <w:szCs w:val="18"/>
        </w:rPr>
        <w:t>是指信托的委托人、受托人、受益人以及其他对信托实施最终有效控制的个人。</w:t>
      </w:r>
      <w:r>
        <w:rPr>
          <w:rFonts w:ascii="Arial" w:eastAsia="宋体" w:hAnsi="Arial" w:cs="Arial"/>
          <w:color w:val="000000" w:themeColor="text1"/>
          <w:sz w:val="18"/>
          <w:szCs w:val="18"/>
          <w:u w:val="single"/>
        </w:rPr>
        <w:t>基金的控制人</w:t>
      </w:r>
      <w:r>
        <w:rPr>
          <w:rFonts w:ascii="Arial" w:eastAsia="宋体" w:hAnsi="Arial" w:cs="Arial"/>
          <w:color w:val="000000" w:themeColor="text1"/>
          <w:sz w:val="18"/>
          <w:szCs w:val="18"/>
        </w:rPr>
        <w:t>是指拥有超过</w:t>
      </w:r>
      <w:r>
        <w:rPr>
          <w:rFonts w:ascii="Arial" w:eastAsia="宋体" w:hAnsi="Arial" w:cs="Arial" w:hint="eastAsia"/>
          <w:color w:val="000000" w:themeColor="text1"/>
          <w:sz w:val="18"/>
          <w:szCs w:val="18"/>
        </w:rPr>
        <w:t>2</w:t>
      </w:r>
      <w:r>
        <w:rPr>
          <w:rFonts w:ascii="Arial" w:eastAsia="宋体" w:hAnsi="Arial" w:cs="Arial"/>
          <w:color w:val="000000" w:themeColor="text1"/>
          <w:sz w:val="18"/>
          <w:szCs w:val="18"/>
        </w:rPr>
        <w:t>5</w:t>
      </w:r>
      <w:r>
        <w:rPr>
          <w:rFonts w:ascii="Arial" w:eastAsia="宋体" w:hAnsi="Arial" w:cs="Arial" w:hint="eastAsia"/>
          <w:color w:val="000000" w:themeColor="text1"/>
          <w:sz w:val="18"/>
          <w:szCs w:val="18"/>
        </w:rPr>
        <w:t>%</w:t>
      </w:r>
      <w:r>
        <w:rPr>
          <w:rFonts w:ascii="Arial" w:eastAsia="宋体" w:hAnsi="Arial" w:cs="Arial"/>
          <w:color w:val="000000" w:themeColor="text1"/>
          <w:sz w:val="18"/>
          <w:szCs w:val="18"/>
        </w:rPr>
        <w:t>权益份额或者其他对基金进行控制的个人。</w:t>
      </w:r>
    </w:p>
    <w:sectPr w:rsidR="00800FA1">
      <w:headerReference w:type="default" r:id="rId9"/>
      <w:footerReference w:type="default" r:id="rId10"/>
      <w:pgSz w:w="11906" w:h="16838"/>
      <w:pgMar w:top="1440" w:right="1800" w:bottom="1276"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6FAE" w:rsidRDefault="00891015">
      <w:r>
        <w:separator/>
      </w:r>
    </w:p>
  </w:endnote>
  <w:endnote w:type="continuationSeparator" w:id="0">
    <w:p w:rsidR="00746FAE" w:rsidRDefault="008910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0FA1" w:rsidRDefault="00800FA1">
    <w:pPr>
      <w:pStyle w:val="a5"/>
      <w:snapToGrid w:val="0"/>
      <w:jc w:val="center"/>
      <w:rPr>
        <w:rFonts w:ascii="Arial" w:eastAsia="Arial" w:hAnsi="Arial"/>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6FAE" w:rsidRDefault="00891015">
      <w:r>
        <w:separator/>
      </w:r>
    </w:p>
  </w:footnote>
  <w:footnote w:type="continuationSeparator" w:id="0">
    <w:p w:rsidR="00746FAE" w:rsidRDefault="008910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0FA1" w:rsidRDefault="00891015">
    <w:pPr>
      <w:pStyle w:val="a7"/>
      <w:snapToGrid w:val="0"/>
      <w:rPr>
        <w:rFonts w:hAnsi="宋体"/>
      </w:rPr>
    </w:pPr>
    <w:r>
      <w:rPr>
        <w:noProof/>
        <w:sz w:val="20"/>
      </w:rPr>
      <w:drawing>
        <wp:anchor distT="0" distB="0" distL="114300" distR="114300" simplePos="0" relativeHeight="251659264" behindDoc="0" locked="0" layoutInCell="1" allowOverlap="1">
          <wp:simplePos x="0" y="0"/>
          <wp:positionH relativeFrom="column">
            <wp:posOffset>-946150</wp:posOffset>
          </wp:positionH>
          <wp:positionV relativeFrom="paragraph">
            <wp:posOffset>-451486</wp:posOffset>
          </wp:positionV>
          <wp:extent cx="2927350" cy="693743"/>
          <wp:effectExtent l="0" t="0" r="0" b="0"/>
          <wp:wrapNone/>
          <wp:docPr id="10"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7"/>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948192" cy="698682"/>
                  </a:xfrm>
                  <a:prstGeom prst="rect">
                    <a:avLst/>
                  </a:prstGeom>
                  <a:ln cap="flat"/>
                </pic:spPr>
              </pic:pic>
            </a:graphicData>
          </a:graphic>
          <wp14:sizeRelH relativeFrom="margin">
            <wp14:pctWidth>0</wp14:pctWidth>
          </wp14:sizeRelH>
          <wp14:sizeRelV relativeFrom="margin">
            <wp14:pctHeight>0</wp14:pctHeight>
          </wp14:sizeRelV>
        </wp:anchor>
      </w:drawing>
    </w:r>
  </w:p>
  <w:p w:rsidR="00800FA1" w:rsidRDefault="00800FA1">
    <w:pPr>
      <w:pStyle w:val="a7"/>
      <w:snapToGrid w:val="0"/>
      <w:jc w:val="right"/>
      <w:rPr>
        <w:rFonts w:hAnsi="宋体"/>
        <w:color w:val="808080" w:themeColor="background1" w:themeShade="8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isplayHorizontalDrawingGridEvery w:val="0"/>
  <w:displayVerticalDrawingGridEvery w:val="2"/>
  <w:characterSpacingControl w:val="compressPunctuation"/>
  <w:hdrShapeDefaults>
    <o:shapedefaults v:ext="edit" spidmax="6145" fillcolor="white">
      <v:fill color="white"/>
    </o:shapedefaults>
  </w:hdrShapeDefaults>
  <w:footnotePr>
    <w:footnote w:id="-1"/>
    <w:footnote w:id="0"/>
  </w:footnotePr>
  <w:endnotePr>
    <w:endnote w:id="-1"/>
    <w:endnote w:id="0"/>
  </w:endnotePr>
  <w:compat>
    <w:balanceSingleByteDoubleByteWidth/>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MzZTdlYjk0NDk4MzI0YWFlZWJmYWFkOGU5N2E0NTAifQ=="/>
  </w:docVars>
  <w:rsids>
    <w:rsidRoot w:val="00C12625"/>
    <w:rsid w:val="00041DC0"/>
    <w:rsid w:val="000C659C"/>
    <w:rsid w:val="00246E6F"/>
    <w:rsid w:val="002502ED"/>
    <w:rsid w:val="00312C8A"/>
    <w:rsid w:val="00343E84"/>
    <w:rsid w:val="003A27DF"/>
    <w:rsid w:val="003F1B34"/>
    <w:rsid w:val="004A182C"/>
    <w:rsid w:val="004A29C3"/>
    <w:rsid w:val="005359CC"/>
    <w:rsid w:val="005A0E03"/>
    <w:rsid w:val="005D337E"/>
    <w:rsid w:val="00653ABE"/>
    <w:rsid w:val="00690CBD"/>
    <w:rsid w:val="006D2157"/>
    <w:rsid w:val="006D37BF"/>
    <w:rsid w:val="00746DEE"/>
    <w:rsid w:val="00746FAE"/>
    <w:rsid w:val="007846A4"/>
    <w:rsid w:val="007A2214"/>
    <w:rsid w:val="00800FA1"/>
    <w:rsid w:val="00815E60"/>
    <w:rsid w:val="00837BC8"/>
    <w:rsid w:val="00840FAC"/>
    <w:rsid w:val="00841268"/>
    <w:rsid w:val="00850B64"/>
    <w:rsid w:val="00863F87"/>
    <w:rsid w:val="00891015"/>
    <w:rsid w:val="008D007E"/>
    <w:rsid w:val="00914015"/>
    <w:rsid w:val="00A44BC1"/>
    <w:rsid w:val="00A65DD6"/>
    <w:rsid w:val="00A81DB3"/>
    <w:rsid w:val="00AD333B"/>
    <w:rsid w:val="00AD38CE"/>
    <w:rsid w:val="00B0075E"/>
    <w:rsid w:val="00B855DB"/>
    <w:rsid w:val="00BC70F5"/>
    <w:rsid w:val="00BF7492"/>
    <w:rsid w:val="00C12625"/>
    <w:rsid w:val="00C327D5"/>
    <w:rsid w:val="00CA695B"/>
    <w:rsid w:val="00CD24F6"/>
    <w:rsid w:val="00D27A26"/>
    <w:rsid w:val="00D414E3"/>
    <w:rsid w:val="00DA63FE"/>
    <w:rsid w:val="00DE6F19"/>
    <w:rsid w:val="00E472CA"/>
    <w:rsid w:val="00E95D4B"/>
    <w:rsid w:val="00EA0F83"/>
    <w:rsid w:val="00F01954"/>
    <w:rsid w:val="00F12ED0"/>
    <w:rsid w:val="00F572F0"/>
    <w:rsid w:val="00F84362"/>
    <w:rsid w:val="0176360E"/>
    <w:rsid w:val="058E1972"/>
    <w:rsid w:val="0B6B22C9"/>
    <w:rsid w:val="28D033B6"/>
    <w:rsid w:val="391323C0"/>
    <w:rsid w:val="3B6F788C"/>
    <w:rsid w:val="42FC597E"/>
    <w:rsid w:val="4D7766A2"/>
    <w:rsid w:val="50835ACA"/>
    <w:rsid w:val="5116335E"/>
    <w:rsid w:val="52BC29D7"/>
    <w:rsid w:val="59905AC8"/>
    <w:rsid w:val="61676B8F"/>
    <w:rsid w:val="63220635"/>
    <w:rsid w:val="7FBE3264"/>
  </w:rsids>
  <m:mathPr>
    <m:mathFont m:val="Cambria Math"/>
    <m:brkBin m:val="before"/>
    <m:brkBinSub m:val="--"/>
    <m:smallFrac/>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fillcolor="white">
      <v:fill color="white"/>
    </o:shapedefaults>
    <o:shapelayout v:ext="edit">
      <o:idmap v:ext="edit" data="1"/>
    </o:shapelayout>
  </w:shapeDefaults>
  <w:decimalSymbol w:val="."/>
  <w:listSeparator w:val=","/>
  <w15:docId w15:val="{4FBAC9D1-01AC-4BEA-869A-CC7A4CFC2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1" w:qFormat="1"/>
    <w:lsdException w:name="heading 1" w:uiPriority="7" w:qFormat="1"/>
    <w:lsdException w:name="heading 2" w:uiPriority="8" w:qFormat="1"/>
    <w:lsdException w:name="heading 3" w:uiPriority="9" w:qFormat="1"/>
    <w:lsdException w:name="heading 4" w:uiPriority="10" w:qFormat="1"/>
    <w:lsdException w:name="heading 5" w:uiPriority="11" w:qFormat="1"/>
    <w:lsdException w:name="heading 6" w:uiPriority="12" w:qFormat="1"/>
    <w:lsdException w:name="heading 7" w:uiPriority="13" w:qFormat="1"/>
    <w:lsdException w:name="heading 8" w:uiPriority="14" w:qFormat="1"/>
    <w:lsdException w:name="heading 9" w:uiPriority="15"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28" w:unhideWhenUsed="1" w:qFormat="1"/>
    <w:lsdException w:name="toc 2" w:uiPriority="29" w:unhideWhenUsed="1" w:qFormat="1"/>
    <w:lsdException w:name="toc 3" w:uiPriority="30" w:unhideWhenUsed="1" w:qFormat="1"/>
    <w:lsdException w:name="toc 4" w:uiPriority="31" w:unhideWhenUsed="1" w:qFormat="1"/>
    <w:lsdException w:name="toc 5" w:uiPriority="32" w:unhideWhenUsed="1" w:qFormat="1"/>
    <w:lsdException w:name="toc 6" w:uiPriority="33" w:unhideWhenUsed="1" w:qFormat="1"/>
    <w:lsdException w:name="toc 7" w:uiPriority="34" w:unhideWhenUsed="1" w:qFormat="1"/>
    <w:lsdException w:name="toc 8" w:uiPriority="35" w:unhideWhenUsed="1" w:qFormat="1"/>
    <w:lsdException w:name="toc 9" w:uiPriority="36" w:unhideWhenUsed="1" w:qFormat="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6"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6"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0" w:qFormat="1"/>
    <w:lsdException w:name="Emphasis" w:uiPriority="18"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5"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26" w:qFormat="1"/>
    <w:lsdException w:name="Quote" w:uiPriority="21" w:qFormat="1"/>
    <w:lsdException w:name="Intense Quote" w:uiPriority="22"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pPr>
      <w:jc w:val="both"/>
    </w:pPr>
    <w:rPr>
      <w:rFonts w:eastAsia="Times New Roman"/>
    </w:rPr>
  </w:style>
  <w:style w:type="paragraph" w:styleId="1">
    <w:name w:val="heading 1"/>
    <w:next w:val="a"/>
    <w:uiPriority w:val="7"/>
    <w:qFormat/>
    <w:pPr>
      <w:jc w:val="both"/>
      <w:outlineLvl w:val="0"/>
    </w:pPr>
    <w:rPr>
      <w:sz w:val="28"/>
      <w:szCs w:val="28"/>
    </w:rPr>
  </w:style>
  <w:style w:type="paragraph" w:styleId="2">
    <w:name w:val="heading 2"/>
    <w:next w:val="a"/>
    <w:uiPriority w:val="8"/>
    <w:qFormat/>
    <w:pPr>
      <w:jc w:val="both"/>
      <w:outlineLvl w:val="1"/>
    </w:pPr>
    <w:rPr>
      <w:sz w:val="21"/>
      <w:szCs w:val="21"/>
    </w:rPr>
  </w:style>
  <w:style w:type="paragraph" w:styleId="3">
    <w:name w:val="heading 3"/>
    <w:next w:val="a"/>
    <w:uiPriority w:val="9"/>
    <w:qFormat/>
    <w:pPr>
      <w:ind w:left="1000" w:hanging="400"/>
      <w:jc w:val="both"/>
      <w:outlineLvl w:val="2"/>
    </w:pPr>
    <w:rPr>
      <w:sz w:val="21"/>
      <w:szCs w:val="21"/>
    </w:rPr>
  </w:style>
  <w:style w:type="paragraph" w:styleId="4">
    <w:name w:val="heading 4"/>
    <w:next w:val="a"/>
    <w:uiPriority w:val="10"/>
    <w:qFormat/>
    <w:pPr>
      <w:ind w:left="1200" w:hanging="400"/>
      <w:jc w:val="both"/>
      <w:outlineLvl w:val="3"/>
    </w:pPr>
    <w:rPr>
      <w:b/>
      <w:sz w:val="21"/>
      <w:szCs w:val="21"/>
    </w:rPr>
  </w:style>
  <w:style w:type="paragraph" w:styleId="5">
    <w:name w:val="heading 5"/>
    <w:next w:val="a"/>
    <w:uiPriority w:val="11"/>
    <w:qFormat/>
    <w:pPr>
      <w:ind w:left="1400" w:hanging="400"/>
      <w:jc w:val="both"/>
      <w:outlineLvl w:val="4"/>
    </w:pPr>
    <w:rPr>
      <w:sz w:val="21"/>
      <w:szCs w:val="21"/>
    </w:rPr>
  </w:style>
  <w:style w:type="paragraph" w:styleId="6">
    <w:name w:val="heading 6"/>
    <w:next w:val="a"/>
    <w:uiPriority w:val="12"/>
    <w:qFormat/>
    <w:pPr>
      <w:ind w:left="1600" w:hanging="400"/>
      <w:jc w:val="both"/>
      <w:outlineLvl w:val="5"/>
    </w:pPr>
    <w:rPr>
      <w:b/>
      <w:sz w:val="21"/>
      <w:szCs w:val="21"/>
    </w:rPr>
  </w:style>
  <w:style w:type="paragraph" w:styleId="7">
    <w:name w:val="heading 7"/>
    <w:next w:val="a"/>
    <w:uiPriority w:val="13"/>
    <w:qFormat/>
    <w:pPr>
      <w:ind w:left="1800" w:hanging="400"/>
      <w:jc w:val="both"/>
      <w:outlineLvl w:val="6"/>
    </w:pPr>
    <w:rPr>
      <w:sz w:val="21"/>
      <w:szCs w:val="21"/>
    </w:rPr>
  </w:style>
  <w:style w:type="paragraph" w:styleId="8">
    <w:name w:val="heading 8"/>
    <w:next w:val="a"/>
    <w:uiPriority w:val="14"/>
    <w:qFormat/>
    <w:pPr>
      <w:ind w:left="2000" w:hanging="400"/>
      <w:jc w:val="both"/>
      <w:outlineLvl w:val="7"/>
    </w:pPr>
    <w:rPr>
      <w:sz w:val="21"/>
      <w:szCs w:val="21"/>
    </w:rPr>
  </w:style>
  <w:style w:type="paragraph" w:styleId="9">
    <w:name w:val="heading 9"/>
    <w:next w:val="a"/>
    <w:uiPriority w:val="15"/>
    <w:qFormat/>
    <w:pPr>
      <w:ind w:left="2200" w:hanging="400"/>
      <w:jc w:val="both"/>
      <w:outlineLvl w:val="8"/>
    </w:pPr>
    <w:rPr>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next w:val="a"/>
    <w:uiPriority w:val="34"/>
    <w:unhideWhenUsed/>
    <w:qFormat/>
    <w:pPr>
      <w:ind w:left="2550"/>
      <w:jc w:val="both"/>
    </w:pPr>
    <w:rPr>
      <w:sz w:val="21"/>
      <w:szCs w:val="21"/>
    </w:rPr>
  </w:style>
  <w:style w:type="paragraph" w:styleId="50">
    <w:name w:val="toc 5"/>
    <w:next w:val="a"/>
    <w:uiPriority w:val="32"/>
    <w:unhideWhenUsed/>
    <w:qFormat/>
    <w:pPr>
      <w:ind w:left="1700"/>
      <w:jc w:val="both"/>
    </w:pPr>
    <w:rPr>
      <w:sz w:val="21"/>
      <w:szCs w:val="21"/>
    </w:rPr>
  </w:style>
  <w:style w:type="paragraph" w:styleId="30">
    <w:name w:val="toc 3"/>
    <w:next w:val="a"/>
    <w:uiPriority w:val="30"/>
    <w:unhideWhenUsed/>
    <w:qFormat/>
    <w:pPr>
      <w:ind w:left="850"/>
      <w:jc w:val="both"/>
    </w:pPr>
    <w:rPr>
      <w:sz w:val="21"/>
      <w:szCs w:val="21"/>
    </w:rPr>
  </w:style>
  <w:style w:type="paragraph" w:styleId="80">
    <w:name w:val="toc 8"/>
    <w:next w:val="a"/>
    <w:uiPriority w:val="35"/>
    <w:unhideWhenUsed/>
    <w:qFormat/>
    <w:pPr>
      <w:ind w:left="2975"/>
      <w:jc w:val="both"/>
    </w:pPr>
    <w:rPr>
      <w:sz w:val="21"/>
      <w:szCs w:val="21"/>
    </w:rPr>
  </w:style>
  <w:style w:type="paragraph" w:styleId="a3">
    <w:name w:val="Balloon Text"/>
    <w:basedOn w:val="a"/>
    <w:link w:val="a4"/>
    <w:uiPriority w:val="99"/>
    <w:semiHidden/>
    <w:unhideWhenUsed/>
    <w:qFormat/>
    <w:rPr>
      <w:sz w:val="18"/>
      <w:szCs w:val="18"/>
    </w:rPr>
  </w:style>
  <w:style w:type="paragraph" w:styleId="a5">
    <w:name w:val="footer"/>
    <w:basedOn w:val="a"/>
    <w:link w:val="a6"/>
    <w:unhideWhenUsed/>
    <w:qFormat/>
    <w:pPr>
      <w:tabs>
        <w:tab w:val="center" w:pos="4153"/>
        <w:tab w:val="right" w:pos="8306"/>
      </w:tabs>
    </w:pPr>
    <w:rPr>
      <w:rFonts w:eastAsia="宋体"/>
      <w:sz w:val="18"/>
      <w:szCs w:val="18"/>
    </w:rPr>
  </w:style>
  <w:style w:type="paragraph" w:styleId="a7">
    <w:name w:val="header"/>
    <w:basedOn w:val="a"/>
    <w:link w:val="a8"/>
    <w:unhideWhenUsed/>
    <w:qFormat/>
    <w:pPr>
      <w:tabs>
        <w:tab w:val="center" w:pos="4153"/>
        <w:tab w:val="right" w:pos="8306"/>
      </w:tabs>
      <w:jc w:val="center"/>
    </w:pPr>
    <w:rPr>
      <w:rFonts w:eastAsia="宋体"/>
      <w:sz w:val="18"/>
      <w:szCs w:val="18"/>
    </w:rPr>
  </w:style>
  <w:style w:type="paragraph" w:styleId="10">
    <w:name w:val="toc 1"/>
    <w:next w:val="a"/>
    <w:uiPriority w:val="28"/>
    <w:unhideWhenUsed/>
    <w:qFormat/>
    <w:pPr>
      <w:jc w:val="both"/>
    </w:pPr>
    <w:rPr>
      <w:sz w:val="21"/>
      <w:szCs w:val="21"/>
    </w:rPr>
  </w:style>
  <w:style w:type="paragraph" w:styleId="40">
    <w:name w:val="toc 4"/>
    <w:next w:val="a"/>
    <w:uiPriority w:val="31"/>
    <w:unhideWhenUsed/>
    <w:qFormat/>
    <w:pPr>
      <w:ind w:left="1275"/>
      <w:jc w:val="both"/>
    </w:pPr>
    <w:rPr>
      <w:sz w:val="21"/>
      <w:szCs w:val="21"/>
    </w:rPr>
  </w:style>
  <w:style w:type="paragraph" w:styleId="a9">
    <w:name w:val="Subtitle"/>
    <w:uiPriority w:val="16"/>
    <w:qFormat/>
    <w:pPr>
      <w:jc w:val="center"/>
    </w:pPr>
    <w:rPr>
      <w:sz w:val="24"/>
      <w:szCs w:val="24"/>
    </w:rPr>
  </w:style>
  <w:style w:type="paragraph" w:styleId="60">
    <w:name w:val="toc 6"/>
    <w:next w:val="a"/>
    <w:uiPriority w:val="33"/>
    <w:unhideWhenUsed/>
    <w:qFormat/>
    <w:pPr>
      <w:ind w:left="2125"/>
      <w:jc w:val="both"/>
    </w:pPr>
    <w:rPr>
      <w:sz w:val="21"/>
      <w:szCs w:val="21"/>
    </w:rPr>
  </w:style>
  <w:style w:type="paragraph" w:styleId="20">
    <w:name w:val="toc 2"/>
    <w:next w:val="a"/>
    <w:uiPriority w:val="29"/>
    <w:unhideWhenUsed/>
    <w:qFormat/>
    <w:pPr>
      <w:ind w:left="425"/>
      <w:jc w:val="both"/>
    </w:pPr>
    <w:rPr>
      <w:sz w:val="21"/>
      <w:szCs w:val="21"/>
    </w:rPr>
  </w:style>
  <w:style w:type="paragraph" w:styleId="90">
    <w:name w:val="toc 9"/>
    <w:next w:val="a"/>
    <w:uiPriority w:val="36"/>
    <w:unhideWhenUsed/>
    <w:qFormat/>
    <w:pPr>
      <w:ind w:left="3400"/>
      <w:jc w:val="both"/>
    </w:pPr>
    <w:rPr>
      <w:sz w:val="21"/>
      <w:szCs w:val="21"/>
    </w:rPr>
  </w:style>
  <w:style w:type="paragraph" w:styleId="aa">
    <w:name w:val="Title"/>
    <w:uiPriority w:val="6"/>
    <w:qFormat/>
    <w:pPr>
      <w:jc w:val="center"/>
    </w:pPr>
    <w:rPr>
      <w:b/>
      <w:sz w:val="32"/>
      <w:szCs w:val="32"/>
    </w:rPr>
  </w:style>
  <w:style w:type="character" w:styleId="ab">
    <w:name w:val="Strong"/>
    <w:uiPriority w:val="20"/>
    <w:qFormat/>
    <w:rPr>
      <w:b/>
      <w:w w:val="100"/>
      <w:sz w:val="21"/>
      <w:szCs w:val="21"/>
      <w:shd w:val="clear" w:color="auto" w:fill="auto"/>
    </w:rPr>
  </w:style>
  <w:style w:type="character" w:styleId="ac">
    <w:name w:val="Emphasis"/>
    <w:uiPriority w:val="18"/>
    <w:qFormat/>
    <w:rPr>
      <w:i/>
      <w:w w:val="100"/>
      <w:sz w:val="21"/>
      <w:szCs w:val="21"/>
      <w:shd w:val="clear" w:color="auto" w:fill="auto"/>
    </w:rPr>
  </w:style>
  <w:style w:type="character" w:styleId="ad">
    <w:name w:val="Hyperlink"/>
    <w:basedOn w:val="a0"/>
    <w:uiPriority w:val="99"/>
    <w:unhideWhenUsed/>
    <w:qFormat/>
    <w:rPr>
      <w:color w:val="0563C1" w:themeColor="hyperlink"/>
      <w:u w:val="single"/>
    </w:rPr>
  </w:style>
  <w:style w:type="paragraph" w:styleId="ae">
    <w:name w:val="No Spacing"/>
    <w:uiPriority w:val="5"/>
    <w:qFormat/>
    <w:pPr>
      <w:jc w:val="both"/>
    </w:pPr>
    <w:rPr>
      <w:sz w:val="21"/>
      <w:szCs w:val="21"/>
    </w:rPr>
  </w:style>
  <w:style w:type="character" w:customStyle="1" w:styleId="11">
    <w:name w:val="不明显强调1"/>
    <w:uiPriority w:val="17"/>
    <w:qFormat/>
    <w:rPr>
      <w:i/>
      <w:color w:val="404040"/>
      <w:w w:val="100"/>
      <w:sz w:val="21"/>
      <w:szCs w:val="21"/>
      <w:shd w:val="clear" w:color="auto" w:fill="auto"/>
    </w:rPr>
  </w:style>
  <w:style w:type="character" w:customStyle="1" w:styleId="12">
    <w:name w:val="明显强调1"/>
    <w:uiPriority w:val="19"/>
    <w:qFormat/>
    <w:rPr>
      <w:i/>
      <w:color w:val="5B9BD5"/>
      <w:w w:val="100"/>
      <w:sz w:val="21"/>
      <w:szCs w:val="21"/>
      <w:shd w:val="clear" w:color="auto" w:fill="auto"/>
    </w:rPr>
  </w:style>
  <w:style w:type="paragraph" w:styleId="af">
    <w:name w:val="Quote"/>
    <w:uiPriority w:val="21"/>
    <w:qFormat/>
    <w:pPr>
      <w:ind w:left="864" w:right="864"/>
      <w:jc w:val="center"/>
    </w:pPr>
    <w:rPr>
      <w:i/>
      <w:color w:val="404040"/>
      <w:sz w:val="21"/>
      <w:szCs w:val="21"/>
    </w:rPr>
  </w:style>
  <w:style w:type="paragraph" w:styleId="af0">
    <w:name w:val="Intense Quote"/>
    <w:uiPriority w:val="22"/>
    <w:qFormat/>
    <w:pPr>
      <w:ind w:left="950" w:right="950"/>
      <w:jc w:val="center"/>
    </w:pPr>
    <w:rPr>
      <w:i/>
      <w:color w:val="5B9BD5"/>
      <w:sz w:val="21"/>
      <w:szCs w:val="21"/>
    </w:rPr>
  </w:style>
  <w:style w:type="character" w:customStyle="1" w:styleId="13">
    <w:name w:val="不明显参考1"/>
    <w:uiPriority w:val="23"/>
    <w:qFormat/>
    <w:rPr>
      <w:smallCaps/>
      <w:color w:val="5A5A5A"/>
      <w:w w:val="100"/>
      <w:sz w:val="21"/>
      <w:szCs w:val="21"/>
      <w:shd w:val="clear" w:color="auto" w:fill="auto"/>
    </w:rPr>
  </w:style>
  <w:style w:type="character" w:customStyle="1" w:styleId="14">
    <w:name w:val="明显参考1"/>
    <w:uiPriority w:val="24"/>
    <w:qFormat/>
    <w:rPr>
      <w:b/>
      <w:smallCaps/>
      <w:color w:val="5B9BD5"/>
      <w:w w:val="100"/>
      <w:sz w:val="21"/>
      <w:szCs w:val="21"/>
      <w:shd w:val="clear" w:color="auto" w:fill="auto"/>
    </w:rPr>
  </w:style>
  <w:style w:type="character" w:customStyle="1" w:styleId="15">
    <w:name w:val="书籍标题1"/>
    <w:uiPriority w:val="25"/>
    <w:qFormat/>
    <w:rPr>
      <w:b/>
      <w:i/>
      <w:w w:val="100"/>
      <w:sz w:val="21"/>
      <w:szCs w:val="21"/>
      <w:shd w:val="clear" w:color="auto" w:fill="auto"/>
    </w:rPr>
  </w:style>
  <w:style w:type="paragraph" w:styleId="af1">
    <w:name w:val="List Paragraph"/>
    <w:uiPriority w:val="26"/>
    <w:qFormat/>
    <w:pPr>
      <w:ind w:left="850"/>
      <w:jc w:val="both"/>
    </w:pPr>
    <w:rPr>
      <w:sz w:val="21"/>
      <w:szCs w:val="21"/>
    </w:rPr>
  </w:style>
  <w:style w:type="paragraph" w:customStyle="1" w:styleId="TOC1">
    <w:name w:val="TOC 标题1"/>
    <w:uiPriority w:val="27"/>
    <w:unhideWhenUsed/>
    <w:qFormat/>
    <w:rPr>
      <w:color w:val="2E74B5"/>
      <w:sz w:val="32"/>
      <w:szCs w:val="32"/>
    </w:rPr>
  </w:style>
  <w:style w:type="character" w:customStyle="1" w:styleId="a8">
    <w:name w:val="页眉 字符"/>
    <w:basedOn w:val="a0"/>
    <w:link w:val="a7"/>
    <w:qFormat/>
    <w:rPr>
      <w:w w:val="100"/>
      <w:sz w:val="18"/>
      <w:szCs w:val="18"/>
      <w:shd w:val="clear" w:color="auto" w:fill="auto"/>
    </w:rPr>
  </w:style>
  <w:style w:type="character" w:customStyle="1" w:styleId="a6">
    <w:name w:val="页脚 字符"/>
    <w:basedOn w:val="a0"/>
    <w:link w:val="a5"/>
    <w:qFormat/>
    <w:rPr>
      <w:w w:val="100"/>
      <w:sz w:val="18"/>
      <w:szCs w:val="18"/>
      <w:shd w:val="clear" w:color="auto" w:fill="auto"/>
    </w:rPr>
  </w:style>
  <w:style w:type="character" w:customStyle="1" w:styleId="require-field">
    <w:name w:val="require-field"/>
    <w:qFormat/>
  </w:style>
  <w:style w:type="character" w:customStyle="1" w:styleId="a4">
    <w:name w:val="批注框文本 字符"/>
    <w:basedOn w:val="a0"/>
    <w:link w:val="a3"/>
    <w:uiPriority w:val="99"/>
    <w:semiHidden/>
    <w:qFormat/>
    <w:rPr>
      <w:rFonts w:eastAsia="Times New Roman"/>
      <w:sz w:val="18"/>
      <w:szCs w:val="18"/>
    </w:rPr>
  </w:style>
  <w:style w:type="paragraph" w:customStyle="1" w:styleId="Default">
    <w:name w:val="Default"/>
    <w:qFormat/>
    <w:pPr>
      <w:widowControl w:val="0"/>
      <w:autoSpaceDE w:val="0"/>
      <w:autoSpaceDN w:val="0"/>
      <w:adjustRightInd w:val="0"/>
    </w:pPr>
    <w:rPr>
      <w:rFonts w:ascii="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chinatax.gov.cn/aeoi_index.html" TargetMode="External"/><Relationship Id="rId3" Type="http://schemas.openxmlformats.org/officeDocument/2006/relationships/settings" Target="settings.xml"/><Relationship Id="rId7" Type="http://schemas.openxmlformats.org/officeDocument/2006/relationships/hyperlink" Target="http://www.chinatax.gov.cn/aeoi_index.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1936</Words>
  <Characters>739</Characters>
  <Application>Microsoft Office Word</Application>
  <DocSecurity>0</DocSecurity>
  <Lines>6</Lines>
  <Paragraphs>5</Paragraphs>
  <ScaleCrop>false</ScaleCrop>
  <Company/>
  <LinksUpToDate>false</LinksUpToDate>
  <CharactersWithSpaces>2670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霍彦均</dc:creator>
  <cp:lastModifiedBy>霍彦均</cp:lastModifiedBy>
  <cp:revision>32</cp:revision>
  <cp:lastPrinted>2024-05-29T06:37:00Z</cp:lastPrinted>
  <dcterms:created xsi:type="dcterms:W3CDTF">2020-07-29T07:59:00Z</dcterms:created>
  <dcterms:modified xsi:type="dcterms:W3CDTF">2026-02-25T08:42:00Z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FCE1FC61361F46AFAA0C5373C83E3B04</vt:lpwstr>
  </property>
</Properties>
</file>