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05B" w:rsidRDefault="00067EE8">
      <w:pPr>
        <w:jc w:val="center"/>
        <w:rPr>
          <w:b/>
          <w:sz w:val="36"/>
          <w:szCs w:val="36"/>
        </w:rPr>
      </w:pPr>
      <w:r>
        <w:rPr>
          <w:rFonts w:hint="eastAsia"/>
          <w:b/>
          <w:noProof/>
          <w:sz w:val="36"/>
          <w:szCs w:val="36"/>
        </w:rPr>
        <w:drawing>
          <wp:anchor distT="0" distB="0" distL="114300" distR="114300" simplePos="0" relativeHeight="251660288" behindDoc="0" locked="0" layoutInCell="1" allowOverlap="1">
            <wp:simplePos x="0" y="0"/>
            <wp:positionH relativeFrom="column">
              <wp:posOffset>-294005</wp:posOffset>
            </wp:positionH>
            <wp:positionV relativeFrom="paragraph">
              <wp:posOffset>-638810</wp:posOffset>
            </wp:positionV>
            <wp:extent cx="2438400" cy="577868"/>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38400" cy="577868"/>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b/>
          <w:sz w:val="36"/>
          <w:szCs w:val="36"/>
        </w:rPr>
        <w:t>投资知识测试问卷</w:t>
      </w:r>
      <w:r>
        <w:rPr>
          <w:rFonts w:hint="eastAsia"/>
          <w:b/>
          <w:sz w:val="36"/>
          <w:szCs w:val="36"/>
        </w:rPr>
        <w:t>（</w:t>
      </w:r>
      <w:proofErr w:type="gramStart"/>
      <w:r>
        <w:rPr>
          <w:rFonts w:hint="eastAsia"/>
          <w:b/>
          <w:sz w:val="36"/>
          <w:szCs w:val="36"/>
        </w:rPr>
        <w:t>普转专</w:t>
      </w:r>
      <w:proofErr w:type="gramEnd"/>
      <w:r>
        <w:rPr>
          <w:rFonts w:hint="eastAsia"/>
          <w:b/>
          <w:sz w:val="36"/>
          <w:szCs w:val="36"/>
        </w:rPr>
        <w:t>）</w:t>
      </w:r>
    </w:p>
    <w:p w:rsidR="006D305B" w:rsidRDefault="006D305B">
      <w:pPr>
        <w:jc w:val="center"/>
        <w:rPr>
          <w:b/>
          <w:sz w:val="10"/>
          <w:szCs w:val="10"/>
        </w:rPr>
      </w:pPr>
    </w:p>
    <w:p w:rsidR="006D305B" w:rsidRDefault="00067EE8">
      <w:pPr>
        <w:jc w:val="right"/>
        <w:rPr>
          <w:rFonts w:hAnsi="Calibri"/>
          <w:b/>
          <w:sz w:val="24"/>
          <w:szCs w:val="24"/>
        </w:rPr>
      </w:pPr>
      <w:r>
        <w:rPr>
          <w:rFonts w:hAnsi="Calibri" w:hint="eastAsia"/>
          <w:b/>
          <w:sz w:val="24"/>
          <w:szCs w:val="24"/>
        </w:rPr>
        <w:t>投资有风险，选择需谨慎</w:t>
      </w:r>
    </w:p>
    <w:p w:rsidR="006D305B" w:rsidRDefault="006D305B">
      <w:pPr>
        <w:jc w:val="right"/>
        <w:rPr>
          <w:rFonts w:hAnsi="Calibri"/>
        </w:rPr>
      </w:pPr>
    </w:p>
    <w:p w:rsidR="006D305B" w:rsidRDefault="00067EE8">
      <w:pPr>
        <w:pStyle w:val="Default"/>
        <w:spacing w:line="360" w:lineRule="auto"/>
        <w:ind w:right="292"/>
        <w:rPr>
          <w:b/>
          <w:color w:val="auto"/>
        </w:rPr>
      </w:pPr>
      <w:r>
        <w:rPr>
          <w:rFonts w:hint="eastAsia"/>
          <w:b/>
          <w:color w:val="auto"/>
        </w:rPr>
        <w:t>尊敬的投资者</w:t>
      </w:r>
      <w:r>
        <w:rPr>
          <w:b/>
          <w:color w:val="auto"/>
        </w:rPr>
        <w:t xml:space="preserve">: </w:t>
      </w:r>
      <w:bookmarkStart w:id="0" w:name="_GoBack"/>
      <w:bookmarkEnd w:id="0"/>
    </w:p>
    <w:p w:rsidR="006D305B" w:rsidRDefault="00067EE8">
      <w:pPr>
        <w:spacing w:line="360" w:lineRule="auto"/>
        <w:ind w:firstLineChars="200" w:firstLine="480"/>
        <w:rPr>
          <w:rFonts w:hAnsi="Calibri"/>
          <w:sz w:val="24"/>
          <w:szCs w:val="24"/>
        </w:rPr>
      </w:pPr>
      <w:r>
        <w:rPr>
          <w:rFonts w:hAnsi="Calibri" w:hint="eastAsia"/>
          <w:sz w:val="24"/>
          <w:szCs w:val="24"/>
        </w:rPr>
        <w:t>根据中国证监会颁布的《证券期货投资者适当性管理办法》等相关法律法规要求，当普通投资者申请成为专业投资者时，本公司作为基金管理人，应当对申请人进行谨慎评估。投资知识测试问卷是本公司向客户履行适当性职责的一个环节，其目的是了解申请人对投资知识的理解程度等情况，测试结果将影响本公司对您</w:t>
      </w:r>
      <w:r>
        <w:rPr>
          <w:rFonts w:hAnsi="Calibri"/>
          <w:sz w:val="24"/>
          <w:szCs w:val="24"/>
        </w:rPr>
        <w:t>/</w:t>
      </w:r>
      <w:proofErr w:type="gramStart"/>
      <w:r>
        <w:rPr>
          <w:rFonts w:hAnsi="Calibri" w:hint="eastAsia"/>
          <w:sz w:val="24"/>
          <w:szCs w:val="24"/>
        </w:rPr>
        <w:t>贵机构</w:t>
      </w:r>
      <w:proofErr w:type="gramEnd"/>
      <w:r>
        <w:rPr>
          <w:rFonts w:hAnsi="Calibri" w:hint="eastAsia"/>
          <w:sz w:val="24"/>
          <w:szCs w:val="24"/>
        </w:rPr>
        <w:t>申请成为专业投资者的审查结果，请您</w:t>
      </w:r>
      <w:r>
        <w:rPr>
          <w:rFonts w:hAnsi="Calibri"/>
          <w:sz w:val="24"/>
          <w:szCs w:val="24"/>
        </w:rPr>
        <w:t>/</w:t>
      </w:r>
      <w:proofErr w:type="gramStart"/>
      <w:r>
        <w:rPr>
          <w:rFonts w:hAnsi="Calibri" w:hint="eastAsia"/>
          <w:sz w:val="24"/>
          <w:szCs w:val="24"/>
        </w:rPr>
        <w:t>贵机构</w:t>
      </w:r>
      <w:proofErr w:type="gramEnd"/>
      <w:r>
        <w:rPr>
          <w:rFonts w:hAnsi="Calibri" w:hint="eastAsia"/>
          <w:sz w:val="24"/>
          <w:szCs w:val="24"/>
        </w:rPr>
        <w:t>认真填写。</w:t>
      </w:r>
    </w:p>
    <w:p w:rsidR="006D305B" w:rsidRDefault="006D305B">
      <w:pPr>
        <w:rPr>
          <w:rFonts w:hAnsi="Calibri"/>
          <w:sz w:val="24"/>
          <w:szCs w:val="24"/>
        </w:rPr>
      </w:pPr>
    </w:p>
    <w:p w:rsidR="006D305B" w:rsidRDefault="00067EE8">
      <w:pPr>
        <w:rPr>
          <w:rFonts w:hAnsi="Calibri"/>
          <w:sz w:val="24"/>
          <w:szCs w:val="24"/>
        </w:rPr>
      </w:pPr>
      <w:r>
        <w:rPr>
          <w:rFonts w:hint="eastAsia"/>
          <w:noProof/>
          <w:sz w:val="24"/>
          <w:szCs w:val="24"/>
        </w:rPr>
        <mc:AlternateContent>
          <mc:Choice Requires="wps">
            <w:drawing>
              <wp:anchor distT="0" distB="0" distL="114300" distR="114300" simplePos="0" relativeHeight="251659264" behindDoc="0" locked="0" layoutInCell="1" allowOverlap="1">
                <wp:simplePos x="0" y="0"/>
                <wp:positionH relativeFrom="margin">
                  <wp:posOffset>294005</wp:posOffset>
                </wp:positionH>
                <wp:positionV relativeFrom="paragraph">
                  <wp:posOffset>9525</wp:posOffset>
                </wp:positionV>
                <wp:extent cx="5905500" cy="761365"/>
                <wp:effectExtent l="0" t="0" r="19050" b="19685"/>
                <wp:wrapNone/>
                <wp:docPr id="1" name="圆角矩形 1"/>
                <wp:cNvGraphicFramePr/>
                <a:graphic xmlns:a="http://schemas.openxmlformats.org/drawingml/2006/main">
                  <a:graphicData uri="http://schemas.microsoft.com/office/word/2010/wordprocessingShape">
                    <wps:wsp>
                      <wps:cNvSpPr/>
                      <wps:spPr>
                        <a:xfrm>
                          <a:off x="0" y="0"/>
                          <a:ext cx="5905500" cy="761365"/>
                        </a:xfrm>
                        <a:prstGeom prst="roundRect">
                          <a:avLst/>
                        </a:prstGeom>
                        <a:solidFill>
                          <a:sysClr val="window" lastClr="FFFFFF"/>
                        </a:solidFill>
                        <a:ln w="12700" cap="flat" cmpd="sng" algn="ctr">
                          <a:solidFill>
                            <a:srgbClr val="70AD47"/>
                          </a:solidFill>
                          <a:prstDash val="solid"/>
                          <a:miter lim="800000"/>
                        </a:ln>
                        <a:effectLst/>
                      </wps:spPr>
                      <wps:txbx>
                        <w:txbxContent>
                          <w:p w:rsidR="006D305B" w:rsidRDefault="00067EE8">
                            <w:pPr>
                              <w:pStyle w:val="Default"/>
                              <w:rPr>
                                <w:b/>
                                <w:sz w:val="21"/>
                                <w:szCs w:val="21"/>
                              </w:rPr>
                            </w:pPr>
                            <w:r>
                              <w:rPr>
                                <w:rFonts w:hint="eastAsia"/>
                                <w:b/>
                                <w:sz w:val="21"/>
                                <w:szCs w:val="21"/>
                              </w:rPr>
                              <w:t>提示：</w:t>
                            </w:r>
                            <w:r>
                              <w:rPr>
                                <w:b/>
                                <w:sz w:val="21"/>
                                <w:szCs w:val="21"/>
                              </w:rPr>
                              <w:t xml:space="preserve"> </w:t>
                            </w:r>
                          </w:p>
                          <w:p w:rsidR="006D305B" w:rsidRDefault="00067EE8">
                            <w:pPr>
                              <w:pStyle w:val="Default"/>
                              <w:rPr>
                                <w:sz w:val="21"/>
                                <w:szCs w:val="21"/>
                              </w:rPr>
                            </w:pPr>
                            <w:r>
                              <w:rPr>
                                <w:sz w:val="21"/>
                                <w:szCs w:val="21"/>
                              </w:rPr>
                              <w:t>1</w:t>
                            </w:r>
                            <w:r>
                              <w:rPr>
                                <w:rFonts w:hint="eastAsia"/>
                                <w:sz w:val="21"/>
                                <w:szCs w:val="21"/>
                              </w:rPr>
                              <w:t>、投资者对各选项所做的选择我司均视为您的真实意思表示。</w:t>
                            </w:r>
                            <w:r>
                              <w:rPr>
                                <w:sz w:val="21"/>
                                <w:szCs w:val="21"/>
                              </w:rPr>
                              <w:t xml:space="preserve"> </w:t>
                            </w:r>
                          </w:p>
                          <w:p w:rsidR="006D305B" w:rsidRDefault="00067EE8">
                            <w:pPr>
                              <w:jc w:val="left"/>
                              <w:rPr>
                                <w:szCs w:val="21"/>
                              </w:rPr>
                            </w:pPr>
                            <w:r>
                              <w:rPr>
                                <w:rFonts w:ascii="宋体" w:eastAsia="宋体" w:cs="宋体"/>
                                <w:color w:val="000000"/>
                                <w:kern w:val="0"/>
                                <w:szCs w:val="21"/>
                              </w:rPr>
                              <w:t>2</w:t>
                            </w:r>
                            <w:r>
                              <w:rPr>
                                <w:rFonts w:ascii="宋体" w:eastAsia="宋体" w:cs="宋体" w:hint="eastAsia"/>
                                <w:color w:val="000000"/>
                                <w:kern w:val="0"/>
                                <w:szCs w:val="21"/>
                              </w:rPr>
                              <w:t>、普通投资者申请转为专业投资者需要进行投资知识测试，并且测试成绩需达到</w:t>
                            </w:r>
                            <w:r>
                              <w:rPr>
                                <w:rFonts w:ascii="宋体" w:eastAsia="宋体" w:cs="宋体"/>
                                <w:color w:val="000000"/>
                                <w:kern w:val="0"/>
                                <w:szCs w:val="21"/>
                              </w:rPr>
                              <w:t>80</w:t>
                            </w:r>
                            <w:r>
                              <w:rPr>
                                <w:rFonts w:ascii="宋体" w:eastAsia="宋体" w:cs="宋体" w:hint="eastAsia"/>
                                <w:color w:val="000000"/>
                                <w:kern w:val="0"/>
                                <w:szCs w:val="21"/>
                              </w:rPr>
                              <w:t>分及</w:t>
                            </w:r>
                            <w:r>
                              <w:rPr>
                                <w:rFonts w:hint="eastAsia"/>
                                <w:szCs w:val="21"/>
                              </w:rPr>
                              <w:t>以上。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oundrect id="_x0000_s1026" o:spid="_x0000_s1026" o:spt="2" style="position:absolute;left:0pt;margin-left:23.15pt;margin-top:0.75pt;height:59.95pt;width:465pt;mso-position-horizontal-relative:margin;z-index:251659264;v-text-anchor:middle;mso-width-relative:page;mso-height-relative:page;" fillcolor="#FFFFFF" filled="t" stroked="t" coordsize="21600,21600" arcsize="0.166666666666667" o:gfxdata="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EChRY1QAAAAgBAAAPAAAAAAAAAAEAIAAAACIAAABkcnMvZG93bnJldi54bWxQSwECFAAUAAAA&#10;CACHTuJAhDFmYZwCAAAoBQAADgAAAAAAAAABACAAAAAkAQAAZHJzL2Uyb0RvYy54bWxQSwUGAAAA&#10;AAYABgBZAQAAMgYAAAAA&#10;">
                <v:fill on="t" focussize="0,0"/>
                <v:stroke weight="1pt" color="#70AD47" miterlimit="8" joinstyle="miter"/>
                <v:imagedata o:title=""/>
                <o:lock v:ext="edit" aspectratio="f"/>
                <v:textbox>
                  <w:txbxContent>
                    <w:p>
                      <w:pPr>
                        <w:pStyle w:val="8"/>
                        <w:rPr>
                          <w:b/>
                          <w:sz w:val="21"/>
                          <w:szCs w:val="21"/>
                        </w:rPr>
                      </w:pPr>
                      <w:r>
                        <w:rPr>
                          <w:rFonts w:hint="eastAsia"/>
                          <w:b/>
                          <w:sz w:val="21"/>
                          <w:szCs w:val="21"/>
                        </w:rPr>
                        <w:t>提示：</w:t>
                      </w:r>
                      <w:r>
                        <w:rPr>
                          <w:b/>
                          <w:sz w:val="21"/>
                          <w:szCs w:val="21"/>
                        </w:rPr>
                        <w:t xml:space="preserve"> </w:t>
                      </w:r>
                    </w:p>
                    <w:p>
                      <w:pPr>
                        <w:pStyle w:val="8"/>
                        <w:rPr>
                          <w:sz w:val="21"/>
                          <w:szCs w:val="21"/>
                        </w:rPr>
                      </w:pPr>
                      <w:r>
                        <w:rPr>
                          <w:sz w:val="21"/>
                          <w:szCs w:val="21"/>
                        </w:rPr>
                        <w:t>1</w:t>
                      </w:r>
                      <w:r>
                        <w:rPr>
                          <w:rFonts w:hint="eastAsia"/>
                          <w:sz w:val="21"/>
                          <w:szCs w:val="21"/>
                        </w:rPr>
                        <w:t>、投资者对各选项所做的选择我司均视为您的真实意思表示。</w:t>
                      </w:r>
                      <w:r>
                        <w:rPr>
                          <w:sz w:val="21"/>
                          <w:szCs w:val="21"/>
                        </w:rPr>
                        <w:t xml:space="preserve"> </w:t>
                      </w:r>
                    </w:p>
                    <w:p>
                      <w:pPr>
                        <w:jc w:val="left"/>
                        <w:rPr>
                          <w:szCs w:val="21"/>
                        </w:rPr>
                      </w:pPr>
                      <w:r>
                        <w:rPr>
                          <w:rFonts w:ascii="宋体" w:eastAsia="宋体" w:cs="宋体"/>
                          <w:color w:val="000000"/>
                          <w:kern w:val="0"/>
                          <w:szCs w:val="21"/>
                        </w:rPr>
                        <w:t>2</w:t>
                      </w:r>
                      <w:r>
                        <w:rPr>
                          <w:rFonts w:hint="eastAsia" w:ascii="宋体" w:eastAsia="宋体" w:cs="宋体"/>
                          <w:color w:val="000000"/>
                          <w:kern w:val="0"/>
                          <w:szCs w:val="21"/>
                        </w:rPr>
                        <w:t>、普通投资者申请转为专业投资者需要进行投资知识测试，并且测试成绩需达到</w:t>
                      </w:r>
                      <w:r>
                        <w:rPr>
                          <w:rFonts w:ascii="宋体" w:eastAsia="宋体" w:cs="宋体"/>
                          <w:color w:val="000000"/>
                          <w:kern w:val="0"/>
                          <w:szCs w:val="21"/>
                        </w:rPr>
                        <w:t>80</w:t>
                      </w:r>
                      <w:r>
                        <w:rPr>
                          <w:rFonts w:hint="eastAsia" w:ascii="宋体" w:eastAsia="宋体" w:cs="宋体"/>
                          <w:color w:val="000000"/>
                          <w:kern w:val="0"/>
                          <w:szCs w:val="21"/>
                        </w:rPr>
                        <w:t>分及</w:t>
                      </w:r>
                      <w:r>
                        <w:rPr>
                          <w:rFonts w:hint="eastAsia"/>
                          <w:szCs w:val="21"/>
                        </w:rPr>
                        <w:t>以上。</w:t>
                      </w:r>
                    </w:p>
                  </w:txbxContent>
                </v:textbox>
              </v:roundrect>
            </w:pict>
          </mc:Fallback>
        </mc:AlternateContent>
      </w:r>
    </w:p>
    <w:p w:rsidR="006D305B" w:rsidRDefault="006D305B">
      <w:pPr>
        <w:rPr>
          <w:rFonts w:hAnsi="Calibri"/>
          <w:sz w:val="24"/>
          <w:szCs w:val="24"/>
        </w:rPr>
      </w:pPr>
    </w:p>
    <w:p w:rsidR="006D305B" w:rsidRDefault="006D305B">
      <w:pPr>
        <w:rPr>
          <w:rFonts w:hAnsi="Calibri"/>
          <w:sz w:val="24"/>
          <w:szCs w:val="24"/>
        </w:rPr>
      </w:pPr>
    </w:p>
    <w:p w:rsidR="006D305B" w:rsidRDefault="006D305B">
      <w:pPr>
        <w:rPr>
          <w:rFonts w:hAnsi="Calibri"/>
          <w:sz w:val="24"/>
          <w:szCs w:val="24"/>
        </w:rPr>
      </w:pPr>
    </w:p>
    <w:p w:rsidR="006D305B" w:rsidRDefault="006D305B">
      <w:pPr>
        <w:rPr>
          <w:rFonts w:hAnsi="Calibri"/>
          <w:sz w:val="24"/>
          <w:szCs w:val="24"/>
        </w:rPr>
      </w:pPr>
    </w:p>
    <w:p w:rsidR="006D305B" w:rsidRDefault="00067EE8">
      <w:pPr>
        <w:pStyle w:val="Default"/>
        <w:spacing w:line="276" w:lineRule="auto"/>
        <w:ind w:right="292"/>
        <w:rPr>
          <w:rFonts w:ascii="Calibri" w:hAnsi="Calibri" w:cs="Calibri"/>
          <w:b/>
          <w:bCs/>
          <w:color w:val="auto"/>
          <w:sz w:val="28"/>
          <w:szCs w:val="28"/>
        </w:rPr>
      </w:pPr>
      <w:r>
        <w:rPr>
          <w:rFonts w:hint="eastAsia"/>
          <w:b/>
          <w:color w:val="auto"/>
          <w:sz w:val="28"/>
          <w:szCs w:val="28"/>
        </w:rPr>
        <w:t>客户名称：</w:t>
      </w:r>
      <w:r>
        <w:rPr>
          <w:rFonts w:ascii="Calibri" w:hAnsi="Calibri" w:cs="Calibri"/>
          <w:b/>
          <w:bCs/>
          <w:color w:val="auto"/>
          <w:sz w:val="28"/>
          <w:szCs w:val="28"/>
        </w:rPr>
        <w:t xml:space="preserve">_____________________________________ </w:t>
      </w:r>
    </w:p>
    <w:p w:rsidR="006D305B" w:rsidRDefault="00067EE8">
      <w:pPr>
        <w:pStyle w:val="Default"/>
        <w:spacing w:line="276" w:lineRule="auto"/>
        <w:ind w:right="292"/>
        <w:rPr>
          <w:rFonts w:hAnsi="Calibri"/>
          <w:color w:val="auto"/>
          <w:sz w:val="28"/>
          <w:szCs w:val="28"/>
        </w:rPr>
      </w:pPr>
      <w:r>
        <w:rPr>
          <w:rFonts w:hAnsi="Calibri" w:hint="eastAsia"/>
          <w:b/>
          <w:color w:val="auto"/>
          <w:sz w:val="28"/>
          <w:szCs w:val="28"/>
        </w:rPr>
        <w:t>证件号码：</w:t>
      </w:r>
      <w:r>
        <w:rPr>
          <w:rFonts w:ascii="Calibri" w:hAnsi="Calibri" w:cs="Calibri"/>
          <w:b/>
          <w:bCs/>
          <w:color w:val="auto"/>
          <w:sz w:val="28"/>
          <w:szCs w:val="28"/>
        </w:rPr>
        <w:t>______________________________________</w:t>
      </w:r>
    </w:p>
    <w:p w:rsidR="006D305B" w:rsidRDefault="00067EE8">
      <w:pPr>
        <w:autoSpaceDE w:val="0"/>
        <w:autoSpaceDN w:val="0"/>
        <w:adjustRightInd w:val="0"/>
        <w:jc w:val="left"/>
        <w:rPr>
          <w:rFonts w:ascii="宋体" w:eastAsia="宋体" w:cs="宋体"/>
          <w:kern w:val="0"/>
          <w:sz w:val="24"/>
          <w:szCs w:val="24"/>
        </w:rPr>
      </w:pPr>
      <w:r>
        <w:rPr>
          <w:rFonts w:ascii="宋体" w:eastAsia="宋体" w:cs="宋体"/>
          <w:kern w:val="0"/>
          <w:sz w:val="24"/>
          <w:szCs w:val="24"/>
        </w:rPr>
        <w:t xml:space="preserve"> </w:t>
      </w:r>
    </w:p>
    <w:p w:rsidR="006D305B" w:rsidRDefault="00067EE8">
      <w:pPr>
        <w:pStyle w:val="Default"/>
        <w:spacing w:line="276" w:lineRule="auto"/>
        <w:ind w:right="292"/>
        <w:jc w:val="both"/>
        <w:rPr>
          <w:rFonts w:hAnsi="Calibri"/>
          <w:b/>
          <w:color w:val="auto"/>
          <w:sz w:val="26"/>
          <w:szCs w:val="26"/>
        </w:rPr>
      </w:pPr>
      <w:r>
        <w:rPr>
          <w:rFonts w:hAnsi="Calibri" w:hint="eastAsia"/>
          <w:b/>
          <w:color w:val="auto"/>
          <w:sz w:val="26"/>
          <w:szCs w:val="26"/>
        </w:rPr>
        <w:t>一、判断题（每题</w:t>
      </w:r>
      <w:r>
        <w:rPr>
          <w:rFonts w:hAnsi="Calibri"/>
          <w:b/>
          <w:color w:val="auto"/>
          <w:sz w:val="26"/>
          <w:szCs w:val="26"/>
        </w:rPr>
        <w:t>10</w:t>
      </w:r>
      <w:r>
        <w:rPr>
          <w:rFonts w:hAnsi="Calibri" w:hint="eastAsia"/>
          <w:b/>
          <w:color w:val="auto"/>
          <w:sz w:val="26"/>
          <w:szCs w:val="26"/>
        </w:rPr>
        <w:t>分，请在您认为正确的选项前打</w:t>
      </w:r>
      <w:r>
        <w:rPr>
          <w:rFonts w:hAnsi="Calibri"/>
          <w:b/>
          <w:color w:val="auto"/>
          <w:sz w:val="26"/>
          <w:szCs w:val="26"/>
        </w:rPr>
        <w:t>“</w:t>
      </w:r>
      <w:r>
        <w:rPr>
          <w:rFonts w:hAnsi="Calibri" w:hint="eastAsia"/>
          <w:b/>
          <w:color w:val="auto"/>
          <w:sz w:val="26"/>
          <w:szCs w:val="26"/>
        </w:rPr>
        <w:t>√</w:t>
      </w:r>
      <w:r>
        <w:rPr>
          <w:rFonts w:hAnsi="Calibri"/>
          <w:b/>
          <w:color w:val="auto"/>
          <w:sz w:val="26"/>
          <w:szCs w:val="26"/>
        </w:rPr>
        <w:t>”</w:t>
      </w:r>
      <w:r>
        <w:rPr>
          <w:rFonts w:hAnsi="Calibri" w:hint="eastAsia"/>
          <w:b/>
          <w:color w:val="auto"/>
          <w:sz w:val="26"/>
          <w:szCs w:val="26"/>
        </w:rPr>
        <w:t>）</w:t>
      </w:r>
    </w:p>
    <w:p w:rsidR="006D305B" w:rsidRDefault="00067EE8">
      <w:pPr>
        <w:pStyle w:val="Default"/>
        <w:spacing w:line="276" w:lineRule="auto"/>
        <w:ind w:right="292"/>
        <w:jc w:val="both"/>
        <w:rPr>
          <w:rFonts w:hAnsi="Calibri"/>
          <w:b/>
          <w:color w:val="auto"/>
        </w:rPr>
      </w:pPr>
      <w:r>
        <w:rPr>
          <w:rFonts w:hAnsi="Calibri"/>
          <w:b/>
          <w:color w:val="auto"/>
        </w:rPr>
        <w:t>1.</w:t>
      </w:r>
      <w:r>
        <w:rPr>
          <w:rFonts w:hAnsi="Calibri" w:hint="eastAsia"/>
          <w:b/>
          <w:color w:val="auto"/>
        </w:rPr>
        <w:t>证券投资基金</w:t>
      </w:r>
      <w:r>
        <w:rPr>
          <w:rFonts w:hAnsi="Calibri"/>
          <w:b/>
          <w:color w:val="auto"/>
        </w:rPr>
        <w:t>(Securities Investment Fund)</w:t>
      </w:r>
      <w:r>
        <w:rPr>
          <w:rFonts w:hAnsi="Calibri" w:hint="eastAsia"/>
          <w:b/>
          <w:color w:val="auto"/>
        </w:rPr>
        <w:t>是指通过发售基金份额募集资金，由基金托管人托管，由基金管理人管理和运作资金，为基金份额持有人的利益，以资产组合方式进行证券投资的一种利益共享、风险共担的集合投资方式。</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a)</w:t>
      </w:r>
      <w:r>
        <w:rPr>
          <w:rFonts w:hAnsi="Calibri" w:hint="eastAsia"/>
          <w:color w:val="auto"/>
        </w:rPr>
        <w:t>正确</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b)</w:t>
      </w:r>
      <w:r>
        <w:rPr>
          <w:rFonts w:hAnsi="Calibri" w:hint="eastAsia"/>
          <w:color w:val="auto"/>
        </w:rPr>
        <w:t>错误</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hAnsi="Calibri"/>
          <w:b/>
          <w:color w:val="auto"/>
        </w:rPr>
      </w:pPr>
      <w:r>
        <w:rPr>
          <w:rFonts w:hAnsi="Calibri"/>
          <w:b/>
          <w:color w:val="auto"/>
        </w:rPr>
        <w:t>2.</w:t>
      </w:r>
      <w:r>
        <w:rPr>
          <w:rFonts w:hAnsi="Calibri" w:hint="eastAsia"/>
          <w:b/>
          <w:color w:val="auto"/>
        </w:rPr>
        <w:t>经营机构告知投资者不适合购买相关产品或者接受相关服务后，投资者主动要求购买风险等级高于其风险承受能力的产品或者接受相关服务的，经营机构在确认其不属于风险承受能力最低类别的投资者后，应当就产品或者服务风险高于其承受能力进行特别的书面风险警示，投资者仍坚持购买的，可以向其销售相关产品或者提供相关服务。</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a)</w:t>
      </w:r>
      <w:r>
        <w:rPr>
          <w:rFonts w:hAnsi="Calibri" w:hint="eastAsia"/>
          <w:color w:val="auto"/>
        </w:rPr>
        <w:t>正</w:t>
      </w:r>
      <w:r>
        <w:rPr>
          <w:rFonts w:hAnsi="Calibri" w:hint="eastAsia"/>
          <w:color w:val="auto"/>
        </w:rPr>
        <w:t>确</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b)</w:t>
      </w:r>
      <w:r>
        <w:rPr>
          <w:rFonts w:hAnsi="Calibri" w:hint="eastAsia"/>
          <w:color w:val="auto"/>
        </w:rPr>
        <w:t>错误</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hAnsi="Calibri"/>
          <w:b/>
          <w:color w:val="auto"/>
        </w:rPr>
      </w:pPr>
      <w:r>
        <w:rPr>
          <w:rFonts w:hAnsi="Calibri"/>
          <w:b/>
          <w:color w:val="auto"/>
        </w:rPr>
        <w:t>3.</w:t>
      </w:r>
      <w:r>
        <w:rPr>
          <w:rFonts w:hAnsi="Calibri" w:hint="eastAsia"/>
          <w:b/>
          <w:color w:val="auto"/>
        </w:rPr>
        <w:t>上市开放式基金是可以同时在交易所进行基金份额申购赎回、在场外市场进行基金份额交易并通过份额转托管机制将场外市场与场内市场有机地联系在一起的一种新的基金运作方式。</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a)</w:t>
      </w:r>
      <w:r>
        <w:rPr>
          <w:rFonts w:hAnsi="Calibri" w:hint="eastAsia"/>
          <w:color w:val="auto"/>
        </w:rPr>
        <w:t>正确</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b)</w:t>
      </w:r>
      <w:r>
        <w:rPr>
          <w:rFonts w:hAnsi="Calibri" w:hint="eastAsia"/>
          <w:color w:val="auto"/>
        </w:rPr>
        <w:t>错误</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hAnsi="Calibri"/>
          <w:b/>
          <w:color w:val="auto"/>
        </w:rPr>
      </w:pPr>
      <w:r>
        <w:rPr>
          <w:rFonts w:hAnsi="Calibri"/>
          <w:b/>
          <w:color w:val="auto"/>
        </w:rPr>
        <w:lastRenderedPageBreak/>
        <w:t>4.ETF</w:t>
      </w:r>
      <w:r>
        <w:rPr>
          <w:rFonts w:hAnsi="Calibri" w:hint="eastAsia"/>
          <w:b/>
          <w:color w:val="auto"/>
        </w:rPr>
        <w:t>结合了封闭式基金与开放式基金的运作特点，投资者一方面可以像封闭式基金一样在交易所二级市场进行</w:t>
      </w:r>
      <w:r>
        <w:rPr>
          <w:rFonts w:hAnsi="Calibri"/>
          <w:b/>
          <w:color w:val="auto"/>
        </w:rPr>
        <w:t>ETF</w:t>
      </w:r>
      <w:r>
        <w:rPr>
          <w:rFonts w:hAnsi="Calibri" w:hint="eastAsia"/>
          <w:b/>
          <w:color w:val="auto"/>
        </w:rPr>
        <w:t>的买卖，另一方面又可以像开放式基金一样申购、赎回。</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a)</w:t>
      </w:r>
      <w:r>
        <w:rPr>
          <w:rFonts w:hAnsi="Calibri" w:hint="eastAsia"/>
          <w:color w:val="auto"/>
        </w:rPr>
        <w:t>正确</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color w:val="auto"/>
        </w:rPr>
        <w:t xml:space="preserve"> b)</w:t>
      </w:r>
      <w:r>
        <w:rPr>
          <w:rFonts w:hAnsi="Calibri" w:hint="eastAsia"/>
          <w:color w:val="auto"/>
        </w:rPr>
        <w:t>错误</w:t>
      </w:r>
    </w:p>
    <w:p w:rsidR="006D305B" w:rsidRDefault="006D305B">
      <w:pPr>
        <w:autoSpaceDE w:val="0"/>
        <w:autoSpaceDN w:val="0"/>
        <w:adjustRightInd w:val="0"/>
        <w:jc w:val="left"/>
        <w:rPr>
          <w:rFonts w:ascii="宋体" w:eastAsia="宋体" w:cs="宋体"/>
          <w:b/>
          <w:kern w:val="0"/>
          <w:sz w:val="24"/>
          <w:szCs w:val="24"/>
        </w:rPr>
      </w:pPr>
    </w:p>
    <w:p w:rsidR="006D305B" w:rsidRDefault="00067EE8">
      <w:pPr>
        <w:pStyle w:val="Default"/>
        <w:spacing w:line="276" w:lineRule="auto"/>
        <w:ind w:right="292"/>
        <w:jc w:val="both"/>
        <w:rPr>
          <w:rFonts w:hAnsi="Calibri"/>
          <w:b/>
          <w:color w:val="auto"/>
          <w:sz w:val="26"/>
          <w:szCs w:val="26"/>
        </w:rPr>
      </w:pPr>
      <w:r>
        <w:rPr>
          <w:rFonts w:hAnsi="Calibri" w:hint="eastAsia"/>
          <w:b/>
          <w:color w:val="auto"/>
          <w:sz w:val="26"/>
          <w:szCs w:val="26"/>
        </w:rPr>
        <w:t>二、</w:t>
      </w:r>
      <w:r>
        <w:rPr>
          <w:rFonts w:hAnsi="Calibri"/>
          <w:b/>
          <w:color w:val="auto"/>
          <w:sz w:val="26"/>
          <w:szCs w:val="26"/>
        </w:rPr>
        <w:t xml:space="preserve"> </w:t>
      </w:r>
      <w:r>
        <w:rPr>
          <w:rFonts w:hAnsi="Calibri" w:hint="eastAsia"/>
          <w:b/>
          <w:color w:val="auto"/>
          <w:sz w:val="26"/>
          <w:szCs w:val="26"/>
        </w:rPr>
        <w:t>单项选择题（每题</w:t>
      </w:r>
      <w:r>
        <w:rPr>
          <w:rFonts w:hAnsi="Calibri"/>
          <w:b/>
          <w:color w:val="auto"/>
          <w:sz w:val="26"/>
          <w:szCs w:val="26"/>
        </w:rPr>
        <w:t>10</w:t>
      </w:r>
      <w:r>
        <w:rPr>
          <w:rFonts w:hAnsi="Calibri" w:hint="eastAsia"/>
          <w:b/>
          <w:color w:val="auto"/>
          <w:sz w:val="26"/>
          <w:szCs w:val="26"/>
        </w:rPr>
        <w:t>分，每道题只有一个正确答案，请在您认为正确的选项前打</w:t>
      </w:r>
      <w:r>
        <w:rPr>
          <w:rFonts w:hAnsi="Calibri"/>
          <w:b/>
          <w:color w:val="auto"/>
          <w:sz w:val="26"/>
          <w:szCs w:val="26"/>
        </w:rPr>
        <w:t>“</w:t>
      </w:r>
      <w:r>
        <w:rPr>
          <w:rFonts w:hAnsi="Calibri" w:hint="eastAsia"/>
          <w:b/>
          <w:color w:val="auto"/>
          <w:sz w:val="26"/>
          <w:szCs w:val="26"/>
        </w:rPr>
        <w:t>√</w:t>
      </w:r>
      <w:r>
        <w:rPr>
          <w:rFonts w:hAnsi="Calibri"/>
          <w:b/>
          <w:color w:val="auto"/>
          <w:sz w:val="26"/>
          <w:szCs w:val="26"/>
        </w:rPr>
        <w:t>”</w:t>
      </w:r>
      <w:r>
        <w:rPr>
          <w:rFonts w:hAnsi="Calibri" w:hint="eastAsia"/>
          <w:b/>
          <w:color w:val="auto"/>
          <w:sz w:val="26"/>
          <w:szCs w:val="26"/>
        </w:rPr>
        <w:t>）</w:t>
      </w:r>
    </w:p>
    <w:p w:rsidR="006D305B" w:rsidRDefault="00067EE8">
      <w:pPr>
        <w:pStyle w:val="Default"/>
        <w:spacing w:line="276" w:lineRule="auto"/>
        <w:ind w:right="292"/>
        <w:jc w:val="both"/>
        <w:rPr>
          <w:rFonts w:hAnsi="Calibri"/>
          <w:b/>
          <w:color w:val="auto"/>
        </w:rPr>
      </w:pPr>
      <w:r>
        <w:rPr>
          <w:rFonts w:hAnsi="Calibri"/>
          <w:b/>
          <w:color w:val="auto"/>
        </w:rPr>
        <w:t>5.</w:t>
      </w:r>
      <w:r>
        <w:rPr>
          <w:rFonts w:hAnsi="Calibri" w:hint="eastAsia"/>
          <w:b/>
          <w:color w:val="auto"/>
        </w:rPr>
        <w:t>以下关于公</w:t>
      </w:r>
      <w:proofErr w:type="gramStart"/>
      <w:r>
        <w:rPr>
          <w:rFonts w:hAnsi="Calibri" w:hint="eastAsia"/>
          <w:b/>
          <w:color w:val="auto"/>
        </w:rPr>
        <w:t>募基金</w:t>
      </w:r>
      <w:proofErr w:type="gramEnd"/>
      <w:r>
        <w:rPr>
          <w:rFonts w:hAnsi="Calibri" w:hint="eastAsia"/>
          <w:b/>
          <w:color w:val="auto"/>
        </w:rPr>
        <w:t>投资和交易所股票投资，说法正确的是：</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a)</w:t>
      </w:r>
      <w:r>
        <w:rPr>
          <w:rFonts w:hAnsi="Calibri" w:hint="eastAsia"/>
          <w:color w:val="auto"/>
        </w:rPr>
        <w:t>交易所股票投资是投资者购买上市公司发行的股票，通过股价的上涨和公司的分红取得收益。</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b)</w:t>
      </w:r>
      <w:r>
        <w:rPr>
          <w:rFonts w:hAnsi="Calibri" w:hint="eastAsia"/>
          <w:color w:val="auto"/>
        </w:rPr>
        <w:t>公</w:t>
      </w:r>
      <w:proofErr w:type="gramStart"/>
      <w:r>
        <w:rPr>
          <w:rFonts w:hAnsi="Calibri" w:hint="eastAsia"/>
          <w:color w:val="auto"/>
        </w:rPr>
        <w:t>募基金</w:t>
      </w:r>
      <w:proofErr w:type="gramEnd"/>
      <w:r>
        <w:rPr>
          <w:rFonts w:hAnsi="Calibri" w:hint="eastAsia"/>
          <w:color w:val="auto"/>
        </w:rPr>
        <w:t>投资则是通过购买基金份额把钱交给基金管理公司进行投资管理，通过基金份额净值的增长来实现收益。</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c)</w:t>
      </w:r>
      <w:r>
        <w:rPr>
          <w:rFonts w:hAnsi="Calibri" w:hint="eastAsia"/>
          <w:color w:val="auto"/>
        </w:rPr>
        <w:t>股票是一种所有权凭证，投资者购买后就成为该公司的股东，股票投资募集的资金主要投向实业领域；基金是一种受益凭证，投资者购买基金后就成为其基金受益人，所筹集资金主要投向有价证券等金融工具。</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d)</w:t>
      </w:r>
      <w:r>
        <w:rPr>
          <w:rFonts w:hAnsi="Calibri"/>
          <w:color w:val="auto"/>
        </w:rPr>
        <w:t>以上说法都正确</w:t>
      </w:r>
      <w:r>
        <w:rPr>
          <w:rFonts w:hAnsi="Calibri" w:hint="eastAsia"/>
          <w:color w:val="auto"/>
        </w:rPr>
        <w:t>。</w:t>
      </w:r>
    </w:p>
    <w:p w:rsidR="006D305B" w:rsidRDefault="006D305B">
      <w:pPr>
        <w:autoSpaceDE w:val="0"/>
        <w:autoSpaceDN w:val="0"/>
        <w:adjustRightInd w:val="0"/>
        <w:jc w:val="left"/>
        <w:rPr>
          <w:rFonts w:ascii="宋体" w:eastAsia="宋体" w:cs="宋体"/>
          <w:kern w:val="0"/>
          <w:sz w:val="18"/>
          <w:szCs w:val="18"/>
        </w:rPr>
      </w:pPr>
    </w:p>
    <w:p w:rsidR="006D305B" w:rsidRDefault="006D305B">
      <w:pPr>
        <w:autoSpaceDE w:val="0"/>
        <w:autoSpaceDN w:val="0"/>
        <w:adjustRightInd w:val="0"/>
        <w:jc w:val="left"/>
        <w:rPr>
          <w:rFonts w:ascii="宋体" w:eastAsia="宋体" w:cs="宋体"/>
          <w:kern w:val="0"/>
          <w:sz w:val="24"/>
          <w:szCs w:val="24"/>
        </w:rPr>
      </w:pPr>
    </w:p>
    <w:p w:rsidR="006D305B" w:rsidRDefault="00067EE8">
      <w:pPr>
        <w:pStyle w:val="Default"/>
        <w:spacing w:line="276" w:lineRule="auto"/>
        <w:ind w:right="292"/>
        <w:jc w:val="both"/>
        <w:rPr>
          <w:rFonts w:hAnsi="Calibri"/>
          <w:b/>
          <w:color w:val="auto"/>
        </w:rPr>
      </w:pPr>
      <w:r>
        <w:rPr>
          <w:rFonts w:hAnsi="Calibri"/>
          <w:b/>
          <w:color w:val="auto"/>
        </w:rPr>
        <w:t>6.</w:t>
      </w:r>
      <w:r>
        <w:rPr>
          <w:rFonts w:hAnsi="Calibri" w:hint="eastAsia"/>
          <w:b/>
          <w:color w:val="auto"/>
        </w:rPr>
        <w:t>下列关于普通投资者申请转化为</w:t>
      </w:r>
      <w:r>
        <w:rPr>
          <w:rFonts w:hAnsi="Calibri" w:hint="eastAsia"/>
          <w:b/>
          <w:color w:val="auto"/>
        </w:rPr>
        <w:t>专业投资者的说法中正确的是：</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a)</w:t>
      </w:r>
      <w:r>
        <w:rPr>
          <w:rFonts w:hAnsi="Calibri" w:hint="eastAsia"/>
          <w:color w:val="auto"/>
        </w:rPr>
        <w:t>符合相关条件的普通投资者可以申请转化成为专业投资者，普通投资者应当以书面形式向经营机构提出转化申请，并确认自主承担可能产生的风险和后果，提供相关证明材料。</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b)</w:t>
      </w:r>
      <w:r>
        <w:rPr>
          <w:rFonts w:hAnsi="Calibri" w:hint="eastAsia"/>
          <w:color w:val="auto"/>
        </w:rPr>
        <w:t>最近</w:t>
      </w:r>
      <w:r>
        <w:rPr>
          <w:rFonts w:hAnsi="Calibri"/>
          <w:color w:val="auto"/>
        </w:rPr>
        <w:t xml:space="preserve">1 </w:t>
      </w:r>
      <w:r>
        <w:rPr>
          <w:rFonts w:hAnsi="Calibri" w:hint="eastAsia"/>
          <w:color w:val="auto"/>
        </w:rPr>
        <w:t>年末净资产不低于</w:t>
      </w:r>
      <w:r>
        <w:rPr>
          <w:rFonts w:hAnsi="Calibri"/>
          <w:color w:val="auto"/>
        </w:rPr>
        <w:t xml:space="preserve">1000 </w:t>
      </w:r>
      <w:r>
        <w:rPr>
          <w:rFonts w:hAnsi="Calibri" w:hint="eastAsia"/>
          <w:color w:val="auto"/>
        </w:rPr>
        <w:t>万元，最近</w:t>
      </w:r>
      <w:r>
        <w:rPr>
          <w:rFonts w:hAnsi="Calibri"/>
          <w:color w:val="auto"/>
        </w:rPr>
        <w:t xml:space="preserve">1 </w:t>
      </w:r>
      <w:r>
        <w:rPr>
          <w:rFonts w:hAnsi="Calibri" w:hint="eastAsia"/>
          <w:color w:val="auto"/>
        </w:rPr>
        <w:t>年末金融资产不低于</w:t>
      </w:r>
      <w:r>
        <w:rPr>
          <w:rFonts w:hAnsi="Calibri"/>
          <w:color w:val="auto"/>
        </w:rPr>
        <w:t xml:space="preserve">500 </w:t>
      </w:r>
      <w:r>
        <w:rPr>
          <w:rFonts w:hAnsi="Calibri" w:hint="eastAsia"/>
          <w:color w:val="auto"/>
        </w:rPr>
        <w:t>万元，且具有</w:t>
      </w:r>
      <w:r>
        <w:rPr>
          <w:rFonts w:hAnsi="Calibri"/>
          <w:color w:val="auto"/>
        </w:rPr>
        <w:t xml:space="preserve">1 </w:t>
      </w:r>
      <w:r>
        <w:rPr>
          <w:rFonts w:hAnsi="Calibri" w:hint="eastAsia"/>
          <w:color w:val="auto"/>
        </w:rPr>
        <w:t>年以上证券、基金、期货、黄金、外汇等投资经历的除专业投资者外的法人或其他组织，符合普通投资者转化为专业投资者的申请条件。</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c)</w:t>
      </w:r>
      <w:r>
        <w:rPr>
          <w:rFonts w:hAnsi="Calibri" w:hint="eastAsia"/>
          <w:color w:val="auto"/>
        </w:rPr>
        <w:t>金融资产不低于</w:t>
      </w:r>
      <w:r>
        <w:rPr>
          <w:rFonts w:hAnsi="Calibri"/>
          <w:color w:val="auto"/>
        </w:rPr>
        <w:t xml:space="preserve">300 </w:t>
      </w:r>
      <w:r>
        <w:rPr>
          <w:rFonts w:hAnsi="Calibri" w:hint="eastAsia"/>
          <w:color w:val="auto"/>
        </w:rPr>
        <w:t>万元或者最近</w:t>
      </w:r>
      <w:r>
        <w:rPr>
          <w:rFonts w:hAnsi="Calibri"/>
          <w:color w:val="auto"/>
        </w:rPr>
        <w:t xml:space="preserve">3 </w:t>
      </w:r>
      <w:r>
        <w:rPr>
          <w:rFonts w:hAnsi="Calibri" w:hint="eastAsia"/>
          <w:color w:val="auto"/>
        </w:rPr>
        <w:t>年个人年均收入不低于</w:t>
      </w:r>
      <w:r>
        <w:rPr>
          <w:rFonts w:hAnsi="Calibri"/>
          <w:color w:val="auto"/>
        </w:rPr>
        <w:t xml:space="preserve">30 </w:t>
      </w:r>
      <w:r>
        <w:rPr>
          <w:rFonts w:hAnsi="Calibri" w:hint="eastAsia"/>
          <w:color w:val="auto"/>
        </w:rPr>
        <w:t>万元，且具有</w:t>
      </w:r>
      <w:r>
        <w:rPr>
          <w:rFonts w:hAnsi="Calibri"/>
          <w:color w:val="auto"/>
        </w:rPr>
        <w:t xml:space="preserve">1 </w:t>
      </w:r>
      <w:r>
        <w:rPr>
          <w:rFonts w:hAnsi="Calibri" w:hint="eastAsia"/>
          <w:color w:val="auto"/>
        </w:rPr>
        <w:t>年以上证券、基金、期货、黄金、外汇等投资经历或者</w:t>
      </w:r>
      <w:r>
        <w:rPr>
          <w:rFonts w:hAnsi="Calibri"/>
          <w:color w:val="auto"/>
        </w:rPr>
        <w:t xml:space="preserve">1 </w:t>
      </w:r>
      <w:r>
        <w:rPr>
          <w:rFonts w:hAnsi="Calibri" w:hint="eastAsia"/>
          <w:color w:val="auto"/>
        </w:rPr>
        <w:t>年以上金融产品设计、投资、风险管理及相关工作经历的自然人投资者，符合普通投资者转化为专业投资者的申请条件。</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d)</w:t>
      </w:r>
      <w:r>
        <w:rPr>
          <w:rFonts w:hAnsi="Calibri" w:hint="eastAsia"/>
          <w:color w:val="auto"/>
        </w:rPr>
        <w:t>以上说法都正确。</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hAnsi="Calibri"/>
          <w:b/>
          <w:color w:val="auto"/>
        </w:rPr>
      </w:pPr>
      <w:r>
        <w:rPr>
          <w:rFonts w:hAnsi="Calibri"/>
          <w:b/>
          <w:color w:val="auto"/>
        </w:rPr>
        <w:t>7.</w:t>
      </w:r>
      <w:r>
        <w:rPr>
          <w:rFonts w:hAnsi="Calibri" w:hint="eastAsia"/>
          <w:b/>
          <w:color w:val="auto"/>
        </w:rPr>
        <w:t>关于</w:t>
      </w:r>
      <w:r>
        <w:rPr>
          <w:rFonts w:hAnsi="Calibri"/>
          <w:b/>
          <w:color w:val="auto"/>
        </w:rPr>
        <w:t>LOF</w:t>
      </w:r>
      <w:r>
        <w:rPr>
          <w:rFonts w:hAnsi="Calibri" w:hint="eastAsia"/>
          <w:b/>
          <w:color w:val="auto"/>
        </w:rPr>
        <w:t>基金上市交易的表述，正确的是：</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a)LOF</w:t>
      </w:r>
      <w:r>
        <w:rPr>
          <w:rFonts w:hAnsi="Calibri" w:hint="eastAsia"/>
          <w:color w:val="auto"/>
        </w:rPr>
        <w:t>在交易所的交易规则与封闭式基金基本相同。</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b)LOF</w:t>
      </w:r>
      <w:r>
        <w:rPr>
          <w:rFonts w:hAnsi="Calibri" w:hint="eastAsia"/>
          <w:color w:val="auto"/>
        </w:rPr>
        <w:t>基金上市首日的开盘参考价为基金发行价格。</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c)LOF</w:t>
      </w:r>
      <w:r>
        <w:rPr>
          <w:rFonts w:hAnsi="Calibri" w:hint="eastAsia"/>
          <w:color w:val="auto"/>
        </w:rPr>
        <w:t>基金上市交易实行</w:t>
      </w:r>
      <w:r>
        <w:rPr>
          <w:rFonts w:hAnsi="Calibri"/>
          <w:color w:val="auto"/>
        </w:rPr>
        <w:t>T+0</w:t>
      </w:r>
      <w:r>
        <w:rPr>
          <w:rFonts w:hAnsi="Calibri" w:hint="eastAsia"/>
          <w:color w:val="auto"/>
        </w:rPr>
        <w:t>的交易制度。</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d)LOF</w:t>
      </w:r>
      <w:r>
        <w:rPr>
          <w:rFonts w:hAnsi="Calibri" w:hint="eastAsia"/>
          <w:color w:val="auto"/>
        </w:rPr>
        <w:t>基金上市首日交易没有价格涨跌幅限制。</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hAnsi="Calibri"/>
          <w:b/>
          <w:color w:val="auto"/>
        </w:rPr>
      </w:pPr>
      <w:r>
        <w:rPr>
          <w:rFonts w:hAnsi="Calibri"/>
          <w:b/>
          <w:color w:val="auto"/>
        </w:rPr>
        <w:t>8.</w:t>
      </w:r>
      <w:r>
        <w:rPr>
          <w:rFonts w:hAnsi="Calibri" w:hint="eastAsia"/>
          <w:b/>
          <w:color w:val="auto"/>
        </w:rPr>
        <w:t>就开放式基金而言，对上市流通的有价证券，以</w:t>
      </w:r>
      <w:r>
        <w:rPr>
          <w:rFonts w:hAnsi="Calibri" w:hint="eastAsia"/>
          <w:b/>
          <w:color w:val="auto"/>
        </w:rPr>
        <w:t>______</w:t>
      </w:r>
      <w:r>
        <w:rPr>
          <w:rFonts w:hAnsi="Calibri" w:hint="eastAsia"/>
          <w:b/>
          <w:color w:val="auto"/>
        </w:rPr>
        <w:t>估值</w:t>
      </w:r>
      <w:r>
        <w:rPr>
          <w:rFonts w:hAnsi="Calibri" w:hint="eastAsia"/>
          <w:b/>
          <w:color w:val="auto"/>
        </w:rPr>
        <w:t>：</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a)</w:t>
      </w:r>
      <w:r>
        <w:rPr>
          <w:rFonts w:hAnsi="Calibri" w:hint="eastAsia"/>
          <w:color w:val="auto"/>
        </w:rPr>
        <w:t>估值日证券交易所挂牌的该证券平均价。</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b)</w:t>
      </w:r>
      <w:r>
        <w:rPr>
          <w:rFonts w:hAnsi="Calibri" w:hint="eastAsia"/>
          <w:color w:val="auto"/>
        </w:rPr>
        <w:t>估值日证券交易所挂牌的该证券最低价。</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c)</w:t>
      </w:r>
      <w:r>
        <w:rPr>
          <w:rFonts w:hAnsi="Calibri" w:hint="eastAsia"/>
          <w:color w:val="auto"/>
        </w:rPr>
        <w:t>估值日证券交易所挂牌的该证券收盘价。</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d)</w:t>
      </w:r>
      <w:r>
        <w:rPr>
          <w:rFonts w:hAnsi="Calibri" w:hint="eastAsia"/>
          <w:color w:val="auto"/>
        </w:rPr>
        <w:t>估值日证券交易所挂牌的该证券开盘价。</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hAnsi="Calibri"/>
          <w:b/>
          <w:color w:val="auto"/>
        </w:rPr>
      </w:pPr>
      <w:r>
        <w:rPr>
          <w:rFonts w:hAnsi="Calibri"/>
          <w:b/>
          <w:color w:val="auto"/>
        </w:rPr>
        <w:t>9.</w:t>
      </w:r>
      <w:r>
        <w:rPr>
          <w:rFonts w:hAnsi="Calibri" w:hint="eastAsia"/>
          <w:b/>
          <w:color w:val="auto"/>
        </w:rPr>
        <w:t>以下关于沪港通的说法正确的是：</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a)</w:t>
      </w:r>
      <w:r>
        <w:rPr>
          <w:rFonts w:hAnsi="Calibri" w:hint="eastAsia"/>
          <w:color w:val="auto"/>
        </w:rPr>
        <w:t>沪港通是指上海证券交易所和香港联合交易所允许两地投资者通过当地证券公司买卖规定范围内的对方交易所上市的股票。</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b)</w:t>
      </w:r>
      <w:r>
        <w:rPr>
          <w:rFonts w:hAnsi="Calibri" w:hint="eastAsia"/>
          <w:color w:val="auto"/>
        </w:rPr>
        <w:t>沪港通开通之前，香港地区的个人投资者无法直接购买上交所的</w:t>
      </w:r>
      <w:r>
        <w:rPr>
          <w:rFonts w:hAnsi="Calibri"/>
          <w:color w:val="auto"/>
        </w:rPr>
        <w:t>A</w:t>
      </w:r>
      <w:r>
        <w:rPr>
          <w:rFonts w:hAnsi="Calibri" w:hint="eastAsia"/>
          <w:color w:val="auto"/>
        </w:rPr>
        <w:t>股股票。</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c)</w:t>
      </w:r>
      <w:r>
        <w:rPr>
          <w:rFonts w:hAnsi="Calibri" w:hint="eastAsia"/>
          <w:color w:val="auto"/>
        </w:rPr>
        <w:t>沪港通开通之前，大陆地区的个人投资者无法直接购买联交所上市的股票。</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d)</w:t>
      </w:r>
      <w:r>
        <w:rPr>
          <w:rFonts w:hAnsi="Calibri" w:hint="eastAsia"/>
          <w:color w:val="auto"/>
        </w:rPr>
        <w:t>以上说法都正确。</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hAnsi="Calibri"/>
          <w:b/>
          <w:color w:val="auto"/>
        </w:rPr>
      </w:pPr>
      <w:r>
        <w:rPr>
          <w:rFonts w:hAnsi="Calibri"/>
          <w:b/>
          <w:color w:val="auto"/>
        </w:rPr>
        <w:t>10.</w:t>
      </w:r>
      <w:r>
        <w:rPr>
          <w:rFonts w:hAnsi="Calibri" w:hint="eastAsia"/>
          <w:b/>
          <w:color w:val="auto"/>
        </w:rPr>
        <w:t>某基金总资产为</w:t>
      </w:r>
      <w:r>
        <w:rPr>
          <w:rFonts w:hAnsi="Calibri"/>
          <w:b/>
          <w:color w:val="auto"/>
        </w:rPr>
        <w:t>40</w:t>
      </w:r>
      <w:r>
        <w:rPr>
          <w:rFonts w:hAnsi="Calibri" w:hint="eastAsia"/>
          <w:b/>
          <w:color w:val="auto"/>
        </w:rPr>
        <w:t>亿元，总负债为</w:t>
      </w:r>
      <w:r>
        <w:rPr>
          <w:rFonts w:hAnsi="Calibri"/>
          <w:b/>
          <w:color w:val="auto"/>
        </w:rPr>
        <w:t>10</w:t>
      </w:r>
      <w:r>
        <w:rPr>
          <w:rFonts w:hAnsi="Calibri" w:hint="eastAsia"/>
          <w:b/>
          <w:color w:val="auto"/>
        </w:rPr>
        <w:t>亿元，发行在外的基金份数为</w:t>
      </w:r>
      <w:r>
        <w:rPr>
          <w:rFonts w:hAnsi="Calibri"/>
          <w:b/>
          <w:color w:val="auto"/>
        </w:rPr>
        <w:t>20</w:t>
      </w:r>
      <w:r>
        <w:rPr>
          <w:rFonts w:hAnsi="Calibri" w:hint="eastAsia"/>
          <w:b/>
          <w:color w:val="auto"/>
        </w:rPr>
        <w:t>亿份，则该基金的基金份额资产净值为：</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a)2</w:t>
      </w:r>
      <w:r>
        <w:rPr>
          <w:rFonts w:hAnsi="Calibri" w:hint="eastAsia"/>
          <w:color w:val="auto"/>
        </w:rPr>
        <w:t>元</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b)1.5</w:t>
      </w:r>
      <w:r>
        <w:rPr>
          <w:rFonts w:hAnsi="Calibri" w:hint="eastAsia"/>
          <w:color w:val="auto"/>
        </w:rPr>
        <w:t>元</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c)2.5</w:t>
      </w:r>
      <w:r>
        <w:rPr>
          <w:rFonts w:hAnsi="Calibri" w:hint="eastAsia"/>
          <w:color w:val="auto"/>
        </w:rPr>
        <w:t>元</w:t>
      </w:r>
    </w:p>
    <w:p w:rsidR="006D305B" w:rsidRDefault="00067EE8">
      <w:pPr>
        <w:pStyle w:val="Default"/>
        <w:spacing w:line="276" w:lineRule="auto"/>
        <w:ind w:right="292"/>
        <w:jc w:val="both"/>
        <w:rPr>
          <w:rFonts w:hAnsi="Calibri"/>
          <w:color w:val="auto"/>
        </w:rPr>
      </w:pPr>
      <w:r>
        <w:rPr>
          <w:rFonts w:hAnsi="Calibri" w:hint="eastAsia"/>
          <w:color w:val="auto"/>
        </w:rPr>
        <w:t>□</w:t>
      </w:r>
      <w:r>
        <w:rPr>
          <w:rFonts w:hAnsi="Calibri" w:hint="eastAsia"/>
          <w:color w:val="auto"/>
        </w:rPr>
        <w:t xml:space="preserve"> </w:t>
      </w:r>
      <w:r>
        <w:rPr>
          <w:rFonts w:hAnsi="Calibri"/>
          <w:color w:val="auto"/>
        </w:rPr>
        <w:t>d)1</w:t>
      </w:r>
      <w:r>
        <w:rPr>
          <w:rFonts w:hAnsi="Calibri" w:hint="eastAsia"/>
          <w:color w:val="auto"/>
        </w:rPr>
        <w:t>元</w:t>
      </w:r>
    </w:p>
    <w:p w:rsidR="006D305B" w:rsidRDefault="006D305B">
      <w:pPr>
        <w:pStyle w:val="Default"/>
        <w:spacing w:line="276" w:lineRule="auto"/>
        <w:ind w:right="292"/>
        <w:jc w:val="both"/>
        <w:rPr>
          <w:rFonts w:hAnsi="Calibri"/>
          <w:color w:val="auto"/>
        </w:rPr>
      </w:pPr>
    </w:p>
    <w:p w:rsidR="006D305B" w:rsidRDefault="00067EE8">
      <w:pPr>
        <w:pStyle w:val="Default"/>
        <w:spacing w:line="276" w:lineRule="auto"/>
        <w:ind w:right="292"/>
        <w:jc w:val="both"/>
        <w:rPr>
          <w:rFonts w:ascii="Calibri" w:hAnsi="Calibri" w:cs="Calibri"/>
          <w:color w:val="auto"/>
        </w:rPr>
      </w:pPr>
      <w:r>
        <w:rPr>
          <w:rFonts w:ascii="Calibri" w:hAnsi="Calibri" w:cs="Calibri"/>
          <w:b/>
          <w:bCs/>
          <w:color w:val="auto"/>
        </w:rPr>
        <w:t xml:space="preserve">_________________________________________________________________________________ </w:t>
      </w:r>
    </w:p>
    <w:p w:rsidR="006D305B" w:rsidRDefault="00067EE8">
      <w:pPr>
        <w:pStyle w:val="Default"/>
        <w:spacing w:line="276" w:lineRule="auto"/>
        <w:ind w:right="292"/>
        <w:rPr>
          <w:rFonts w:hAnsi="Calibri"/>
          <w:b/>
          <w:color w:val="auto"/>
          <w:sz w:val="26"/>
          <w:szCs w:val="26"/>
        </w:rPr>
      </w:pPr>
      <w:r>
        <w:rPr>
          <w:rFonts w:hAnsi="Calibri" w:hint="eastAsia"/>
          <w:b/>
          <w:color w:val="auto"/>
          <w:sz w:val="26"/>
          <w:szCs w:val="26"/>
        </w:rPr>
        <w:t>问卷声明：</w:t>
      </w:r>
      <w:r>
        <w:rPr>
          <w:rFonts w:hAnsi="Calibri"/>
          <w:b/>
          <w:color w:val="auto"/>
          <w:sz w:val="26"/>
          <w:szCs w:val="26"/>
        </w:rPr>
        <w:t xml:space="preserve"> </w:t>
      </w:r>
    </w:p>
    <w:p w:rsidR="006D305B" w:rsidRDefault="00067EE8">
      <w:pPr>
        <w:pStyle w:val="Default"/>
        <w:numPr>
          <w:ilvl w:val="0"/>
          <w:numId w:val="1"/>
        </w:numPr>
        <w:spacing w:line="276" w:lineRule="auto"/>
        <w:ind w:right="292"/>
        <w:rPr>
          <w:rFonts w:hAnsi="Calibri"/>
          <w:color w:val="auto"/>
          <w:sz w:val="26"/>
          <w:szCs w:val="26"/>
        </w:rPr>
      </w:pPr>
      <w:r>
        <w:rPr>
          <w:rFonts w:hAnsi="Calibri" w:hint="eastAsia"/>
          <w:color w:val="auto"/>
          <w:sz w:val="26"/>
          <w:szCs w:val="26"/>
        </w:rPr>
        <w:t>评分标准：本问卷共</w:t>
      </w:r>
      <w:r>
        <w:rPr>
          <w:rFonts w:hAnsi="Calibri"/>
          <w:color w:val="auto"/>
          <w:sz w:val="26"/>
          <w:szCs w:val="26"/>
        </w:rPr>
        <w:t>10</w:t>
      </w:r>
      <w:r>
        <w:rPr>
          <w:rFonts w:hAnsi="Calibri" w:hint="eastAsia"/>
          <w:color w:val="auto"/>
          <w:sz w:val="26"/>
          <w:szCs w:val="26"/>
        </w:rPr>
        <w:t>道题，分为判断题和单项选择题，</w:t>
      </w:r>
      <w:r>
        <w:rPr>
          <w:rFonts w:hAnsi="Calibri" w:hint="eastAsia"/>
          <w:color w:val="FF0000"/>
          <w:sz w:val="26"/>
          <w:szCs w:val="26"/>
        </w:rPr>
        <w:t>答对</w:t>
      </w:r>
      <w:r>
        <w:rPr>
          <w:rFonts w:hAnsi="Calibri"/>
          <w:color w:val="FF0000"/>
          <w:sz w:val="26"/>
          <w:szCs w:val="26"/>
        </w:rPr>
        <w:t>8</w:t>
      </w:r>
      <w:r>
        <w:rPr>
          <w:rFonts w:hAnsi="Calibri" w:hint="eastAsia"/>
          <w:color w:val="FF0000"/>
          <w:sz w:val="26"/>
          <w:szCs w:val="26"/>
        </w:rPr>
        <w:t>道题</w:t>
      </w:r>
      <w:r>
        <w:rPr>
          <w:rFonts w:hAnsi="Calibri" w:hint="eastAsia"/>
          <w:color w:val="FF0000"/>
          <w:sz w:val="26"/>
          <w:szCs w:val="26"/>
        </w:rPr>
        <w:t>及</w:t>
      </w:r>
      <w:r>
        <w:rPr>
          <w:rFonts w:hAnsi="Calibri" w:hint="eastAsia"/>
          <w:color w:val="FF0000"/>
          <w:sz w:val="26"/>
          <w:szCs w:val="26"/>
        </w:rPr>
        <w:t>以上，视为通过本问卷测试</w:t>
      </w:r>
      <w:r>
        <w:rPr>
          <w:rFonts w:hAnsi="Calibri" w:hint="eastAsia"/>
          <w:color w:val="auto"/>
          <w:sz w:val="26"/>
          <w:szCs w:val="26"/>
        </w:rPr>
        <w:t>。</w:t>
      </w:r>
    </w:p>
    <w:p w:rsidR="006D305B" w:rsidRDefault="00067EE8">
      <w:pPr>
        <w:pStyle w:val="Default"/>
        <w:numPr>
          <w:ilvl w:val="0"/>
          <w:numId w:val="1"/>
        </w:numPr>
        <w:spacing w:line="276" w:lineRule="auto"/>
        <w:ind w:right="292"/>
        <w:rPr>
          <w:rFonts w:hAnsi="Calibri"/>
          <w:color w:val="auto"/>
          <w:sz w:val="26"/>
          <w:szCs w:val="26"/>
        </w:rPr>
      </w:pPr>
      <w:r>
        <w:rPr>
          <w:rFonts w:hAnsi="Calibri" w:hint="eastAsia"/>
          <w:color w:val="auto"/>
          <w:sz w:val="26"/>
          <w:szCs w:val="26"/>
        </w:rPr>
        <w:t>本机构</w:t>
      </w:r>
      <w:r>
        <w:rPr>
          <w:rFonts w:hAnsi="Calibri"/>
          <w:color w:val="auto"/>
          <w:sz w:val="26"/>
          <w:szCs w:val="26"/>
        </w:rPr>
        <w:t>/</w:t>
      </w:r>
      <w:r>
        <w:rPr>
          <w:rFonts w:hAnsi="Calibri" w:hint="eastAsia"/>
          <w:color w:val="auto"/>
          <w:sz w:val="26"/>
          <w:szCs w:val="26"/>
        </w:rPr>
        <w:t>本人愿意接受此问卷的调查方法，并已如实回答。</w:t>
      </w:r>
    </w:p>
    <w:p w:rsidR="006D305B" w:rsidRDefault="006D305B">
      <w:pPr>
        <w:pStyle w:val="Default"/>
        <w:spacing w:line="276" w:lineRule="auto"/>
        <w:ind w:right="292"/>
        <w:rPr>
          <w:rFonts w:hAnsi="Calibri"/>
          <w:color w:val="auto"/>
        </w:rPr>
      </w:pPr>
    </w:p>
    <w:p w:rsidR="006D305B" w:rsidRDefault="006D305B">
      <w:pPr>
        <w:pStyle w:val="Default"/>
        <w:spacing w:line="276" w:lineRule="auto"/>
        <w:ind w:right="292"/>
        <w:rPr>
          <w:rFonts w:hAnsi="Calibri"/>
          <w:color w:val="auto"/>
        </w:rPr>
      </w:pPr>
    </w:p>
    <w:p w:rsidR="006D305B" w:rsidRDefault="006D305B">
      <w:pPr>
        <w:pStyle w:val="Default"/>
        <w:spacing w:line="276" w:lineRule="auto"/>
        <w:ind w:right="292"/>
        <w:rPr>
          <w:rFonts w:hAnsi="Calibri"/>
          <w:color w:val="auto"/>
        </w:rPr>
      </w:pPr>
    </w:p>
    <w:p w:rsidR="006D305B" w:rsidRDefault="006D305B">
      <w:pPr>
        <w:pStyle w:val="Default"/>
        <w:spacing w:line="276" w:lineRule="auto"/>
        <w:ind w:right="292"/>
        <w:rPr>
          <w:rFonts w:hAnsi="Calibri"/>
          <w:color w:val="auto"/>
        </w:rPr>
      </w:pPr>
    </w:p>
    <w:p w:rsidR="006D305B" w:rsidRDefault="006D305B">
      <w:pPr>
        <w:pStyle w:val="Default"/>
        <w:spacing w:line="276" w:lineRule="auto"/>
        <w:ind w:right="292"/>
        <w:rPr>
          <w:rFonts w:hAnsi="Calibri"/>
          <w:color w:val="auto"/>
        </w:rPr>
      </w:pPr>
    </w:p>
    <w:p w:rsidR="006D305B" w:rsidRDefault="00067EE8">
      <w:pPr>
        <w:pStyle w:val="Default"/>
        <w:spacing w:line="276" w:lineRule="auto"/>
        <w:ind w:right="292"/>
        <w:jc w:val="center"/>
        <w:rPr>
          <w:rFonts w:hAnsi="Calibri"/>
          <w:b/>
          <w:color w:val="auto"/>
        </w:rPr>
      </w:pPr>
      <w:r>
        <w:rPr>
          <w:rFonts w:hAnsi="Calibri" w:hint="eastAsia"/>
          <w:color w:val="auto"/>
        </w:rPr>
        <w:t xml:space="preserve">                                        </w:t>
      </w:r>
      <w:r>
        <w:rPr>
          <w:rFonts w:hAnsi="Calibri" w:hint="eastAsia"/>
          <w:b/>
          <w:color w:val="auto"/>
        </w:rPr>
        <w:t xml:space="preserve"> </w:t>
      </w:r>
      <w:r>
        <w:rPr>
          <w:rFonts w:hAnsi="Calibri" w:hint="eastAsia"/>
          <w:b/>
          <w:color w:val="auto"/>
        </w:rPr>
        <w:t>自然人</w:t>
      </w:r>
      <w:r>
        <w:rPr>
          <w:rFonts w:hAnsi="Calibri" w:hint="eastAsia"/>
          <w:b/>
          <w:color w:val="auto"/>
        </w:rPr>
        <w:t>签字：</w:t>
      </w:r>
    </w:p>
    <w:p w:rsidR="006D305B" w:rsidRDefault="00067EE8">
      <w:pPr>
        <w:pStyle w:val="Default"/>
        <w:spacing w:line="276" w:lineRule="auto"/>
        <w:ind w:right="292"/>
        <w:jc w:val="center"/>
        <w:rPr>
          <w:rFonts w:hAnsi="Calibri"/>
          <w:b/>
          <w:color w:val="auto"/>
        </w:rPr>
      </w:pPr>
      <w:r>
        <w:rPr>
          <w:rFonts w:hAnsi="Calibri" w:hint="eastAsia"/>
          <w:b/>
          <w:color w:val="auto"/>
        </w:rPr>
        <w:t xml:space="preserve">              </w:t>
      </w:r>
      <w:r>
        <w:rPr>
          <w:rFonts w:hAnsi="Calibri"/>
          <w:b/>
          <w:color w:val="auto"/>
        </w:rPr>
        <w:t xml:space="preserve">                            </w:t>
      </w:r>
    </w:p>
    <w:p w:rsidR="006D305B" w:rsidRDefault="00067EE8">
      <w:pPr>
        <w:pStyle w:val="Default"/>
        <w:spacing w:line="276" w:lineRule="auto"/>
        <w:ind w:right="292"/>
        <w:jc w:val="center"/>
        <w:rPr>
          <w:rFonts w:hAnsi="Calibri"/>
          <w:b/>
          <w:color w:val="auto"/>
        </w:rPr>
      </w:pPr>
      <w:r>
        <w:rPr>
          <w:rFonts w:hAnsi="Calibri"/>
          <w:b/>
          <w:color w:val="auto"/>
        </w:rPr>
        <w:t xml:space="preserve">                                          </w:t>
      </w:r>
      <w:r>
        <w:rPr>
          <w:rFonts w:hAnsi="Calibri" w:hint="eastAsia"/>
          <w:b/>
          <w:color w:val="auto"/>
        </w:rPr>
        <w:t>机构</w:t>
      </w:r>
      <w:r>
        <w:rPr>
          <w:rFonts w:hAnsi="Calibri" w:hint="eastAsia"/>
          <w:b/>
          <w:color w:val="auto"/>
        </w:rPr>
        <w:t>授权</w:t>
      </w:r>
      <w:r>
        <w:rPr>
          <w:rFonts w:hAnsi="Calibri" w:hint="eastAsia"/>
          <w:b/>
          <w:color w:val="auto"/>
        </w:rPr>
        <w:t>经办人签字：</w:t>
      </w:r>
    </w:p>
    <w:p w:rsidR="006D305B" w:rsidRDefault="00067EE8">
      <w:pPr>
        <w:pStyle w:val="Default"/>
        <w:spacing w:line="276" w:lineRule="auto"/>
        <w:ind w:right="292"/>
        <w:jc w:val="center"/>
        <w:rPr>
          <w:rFonts w:hAnsi="Calibri"/>
          <w:b/>
          <w:color w:val="auto"/>
        </w:rPr>
      </w:pPr>
      <w:r>
        <w:rPr>
          <w:rFonts w:hAnsi="Calibri" w:hint="eastAsia"/>
          <w:b/>
          <w:color w:val="auto"/>
        </w:rPr>
        <w:t xml:space="preserve">                                          </w:t>
      </w:r>
      <w:r>
        <w:rPr>
          <w:rFonts w:hAnsi="Calibri" w:hint="eastAsia"/>
          <w:bCs/>
          <w:color w:val="auto"/>
        </w:rPr>
        <w:t>（</w:t>
      </w:r>
      <w:r>
        <w:rPr>
          <w:rFonts w:hAnsi="Calibri" w:hint="eastAsia"/>
          <w:bCs/>
          <w:color w:val="auto"/>
        </w:rPr>
        <w:t>盖公章、法人章）</w:t>
      </w:r>
    </w:p>
    <w:p w:rsidR="006D305B" w:rsidRDefault="006D305B">
      <w:pPr>
        <w:wordWrap w:val="0"/>
        <w:spacing w:line="276" w:lineRule="auto"/>
        <w:jc w:val="right"/>
        <w:rPr>
          <w:rFonts w:hAnsi="Calibri"/>
          <w:b/>
          <w:sz w:val="24"/>
          <w:szCs w:val="24"/>
        </w:rPr>
      </w:pPr>
    </w:p>
    <w:p w:rsidR="006D305B" w:rsidRDefault="006D305B">
      <w:pPr>
        <w:spacing w:line="276" w:lineRule="auto"/>
        <w:jc w:val="right"/>
        <w:rPr>
          <w:rFonts w:hAnsi="Calibri"/>
          <w:b/>
          <w:sz w:val="24"/>
          <w:szCs w:val="24"/>
        </w:rPr>
      </w:pPr>
    </w:p>
    <w:p w:rsidR="006D305B" w:rsidRDefault="00067EE8">
      <w:pPr>
        <w:spacing w:line="276" w:lineRule="auto"/>
        <w:jc w:val="right"/>
        <w:rPr>
          <w:b/>
          <w:sz w:val="24"/>
          <w:szCs w:val="24"/>
        </w:rPr>
      </w:pPr>
      <w:r>
        <w:rPr>
          <w:rFonts w:hAnsi="Calibri" w:hint="eastAsia"/>
          <w:b/>
          <w:sz w:val="24"/>
          <w:szCs w:val="24"/>
        </w:rPr>
        <w:t>日期：</w:t>
      </w:r>
      <w:r>
        <w:rPr>
          <w:rFonts w:hAnsi="Calibri"/>
          <w:b/>
          <w:sz w:val="24"/>
          <w:szCs w:val="24"/>
        </w:rPr>
        <w:t xml:space="preserve"> </w:t>
      </w:r>
      <w:r>
        <w:rPr>
          <w:rFonts w:ascii="Calibri" w:hAnsi="Calibri" w:cs="Calibri"/>
          <w:b/>
          <w:sz w:val="24"/>
          <w:szCs w:val="24"/>
        </w:rPr>
        <w:t xml:space="preserve">   </w:t>
      </w:r>
      <w:r>
        <w:rPr>
          <w:rFonts w:hAnsi="Calibri" w:hint="eastAsia"/>
          <w:b/>
          <w:sz w:val="24"/>
          <w:szCs w:val="24"/>
        </w:rPr>
        <w:t>年</w:t>
      </w:r>
      <w:r>
        <w:rPr>
          <w:rFonts w:hAnsi="Calibri"/>
          <w:b/>
          <w:sz w:val="24"/>
          <w:szCs w:val="24"/>
        </w:rPr>
        <w:t xml:space="preserve">    </w:t>
      </w:r>
      <w:r>
        <w:rPr>
          <w:rFonts w:hAnsi="Calibri" w:hint="eastAsia"/>
          <w:b/>
          <w:sz w:val="24"/>
          <w:szCs w:val="24"/>
        </w:rPr>
        <w:t>月</w:t>
      </w:r>
      <w:r>
        <w:rPr>
          <w:rFonts w:hAnsi="Calibri" w:hint="eastAsia"/>
          <w:b/>
          <w:sz w:val="24"/>
          <w:szCs w:val="24"/>
        </w:rPr>
        <w:t xml:space="preserve">   </w:t>
      </w:r>
      <w:r>
        <w:rPr>
          <w:rFonts w:hAnsi="Calibri"/>
          <w:b/>
          <w:sz w:val="24"/>
          <w:szCs w:val="24"/>
        </w:rPr>
        <w:t xml:space="preserve"> </w:t>
      </w:r>
      <w:r>
        <w:rPr>
          <w:rFonts w:hAnsi="Calibri" w:hint="eastAsia"/>
          <w:b/>
          <w:sz w:val="24"/>
          <w:szCs w:val="24"/>
        </w:rPr>
        <w:t>日</w:t>
      </w:r>
    </w:p>
    <w:sectPr w:rsidR="006D305B">
      <w:pgSz w:w="11906" w:h="16838"/>
      <w:pgMar w:top="1276" w:right="707" w:bottom="1134" w:left="993"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90B7F"/>
    <w:multiLevelType w:val="multilevel"/>
    <w:tmpl w:val="04490B7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zZTdlYjk0NDk4MzI0YWFlZWJmYWFkOGU5N2E0NTAifQ=="/>
  </w:docVars>
  <w:rsids>
    <w:rsidRoot w:val="00F45FBE"/>
    <w:rsid w:val="00067EE8"/>
    <w:rsid w:val="0011313B"/>
    <w:rsid w:val="00141711"/>
    <w:rsid w:val="001556F4"/>
    <w:rsid w:val="001D182C"/>
    <w:rsid w:val="002047BD"/>
    <w:rsid w:val="0029474B"/>
    <w:rsid w:val="00327725"/>
    <w:rsid w:val="00331F2A"/>
    <w:rsid w:val="004636D8"/>
    <w:rsid w:val="004D2A81"/>
    <w:rsid w:val="004F2AEC"/>
    <w:rsid w:val="00513876"/>
    <w:rsid w:val="00573D95"/>
    <w:rsid w:val="00612547"/>
    <w:rsid w:val="00630DDD"/>
    <w:rsid w:val="00661300"/>
    <w:rsid w:val="006D305B"/>
    <w:rsid w:val="006E35AA"/>
    <w:rsid w:val="007403CB"/>
    <w:rsid w:val="007C1534"/>
    <w:rsid w:val="00AC0B44"/>
    <w:rsid w:val="00AF7464"/>
    <w:rsid w:val="00B26E0C"/>
    <w:rsid w:val="00B358BD"/>
    <w:rsid w:val="00BE15AB"/>
    <w:rsid w:val="00BE23D9"/>
    <w:rsid w:val="00BE4B92"/>
    <w:rsid w:val="00BF339E"/>
    <w:rsid w:val="00C04E1B"/>
    <w:rsid w:val="00C62217"/>
    <w:rsid w:val="00DC6EDA"/>
    <w:rsid w:val="00ED1759"/>
    <w:rsid w:val="00EE75D2"/>
    <w:rsid w:val="00F45FBE"/>
    <w:rsid w:val="00F57782"/>
    <w:rsid w:val="00FE48F1"/>
    <w:rsid w:val="241514A0"/>
    <w:rsid w:val="438E18E4"/>
    <w:rsid w:val="592156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5AC8E7D1-5598-4479-AE40-E81615853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354</Words>
  <Characters>2020</Characters>
  <Application>Microsoft Office Word</Application>
  <DocSecurity>0</DocSecurity>
  <Lines>16</Lines>
  <Paragraphs>4</Paragraphs>
  <ScaleCrop>false</ScaleCrop>
  <Company/>
  <LinksUpToDate>false</LinksUpToDate>
  <CharactersWithSpaces>2370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霍彦均</dc:creator>
  <cp:lastModifiedBy>高原</cp:lastModifiedBy>
  <cp:revision>29</cp:revision>
  <cp:lastPrinted>2019-06-19T01:28:00Z</cp:lastPrinted>
  <dcterms:created xsi:type="dcterms:W3CDTF">2018-12-24T07:36:00Z</dcterms:created>
  <dcterms:modified xsi:type="dcterms:W3CDTF">2024-05-29T07:30:00Z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4B36C8C72DA041A39BB0F7466BC26E5D</vt:lpwstr>
  </property>
</Properties>
</file>